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BD3EF">
      <w:pPr>
        <w:rPr>
          <w:rFonts w:ascii="Calibri" w:hAnsi="Calibri" w:eastAsia="Calibri" w:cs="Calibri"/>
          <w:sz w:val="33"/>
        </w:rPr>
      </w:pPr>
      <w:r>
        <w:rPr>
          <w:rFonts w:ascii="宋体" w:hAnsi="宋体" w:eastAsia="宋体" w:cs="宋体"/>
          <w:sz w:val="33"/>
        </w:rPr>
        <w:t>协议编号：</w:t>
      </w:r>
    </w:p>
    <w:p w14:paraId="08462BC1">
      <w:pPr>
        <w:rPr>
          <w:rFonts w:ascii="宋体" w:hAnsi="宋体" w:eastAsia="宋体" w:cs="宋体"/>
        </w:rPr>
      </w:pPr>
    </w:p>
    <w:p w14:paraId="6C6586DD">
      <w:pPr>
        <w:rPr>
          <w:rFonts w:ascii="宋体" w:hAnsi="宋体" w:eastAsia="宋体" w:cs="宋体"/>
        </w:rPr>
      </w:pPr>
    </w:p>
    <w:p w14:paraId="08107C53">
      <w:pPr>
        <w:rPr>
          <w:rFonts w:ascii="宋体" w:hAnsi="宋体" w:eastAsia="宋体" w:cs="宋体"/>
        </w:rPr>
      </w:pPr>
    </w:p>
    <w:p w14:paraId="731CCDD7">
      <w:pPr>
        <w:rPr>
          <w:rFonts w:ascii="宋体" w:hAnsi="宋体" w:eastAsia="宋体" w:cs="宋体"/>
        </w:rPr>
      </w:pPr>
    </w:p>
    <w:p w14:paraId="6F98F84B">
      <w:pPr>
        <w:rPr>
          <w:rFonts w:ascii="宋体" w:hAnsi="宋体" w:eastAsia="宋体" w:cs="宋体"/>
        </w:rPr>
      </w:pPr>
    </w:p>
    <w:p w14:paraId="60AEE87B">
      <w:pPr>
        <w:rPr>
          <w:rFonts w:ascii="宋体" w:hAnsi="宋体" w:eastAsia="宋体" w:cs="宋体"/>
        </w:rPr>
      </w:pPr>
    </w:p>
    <w:p w14:paraId="4DD2BF04">
      <w:pPr>
        <w:rPr>
          <w:rFonts w:ascii="宋体" w:hAnsi="宋体" w:eastAsia="宋体" w:cs="宋体"/>
        </w:rPr>
      </w:pPr>
    </w:p>
    <w:p w14:paraId="628D651E">
      <w:pPr>
        <w:rPr>
          <w:rFonts w:ascii="宋体" w:hAnsi="宋体" w:eastAsia="宋体" w:cs="宋体"/>
        </w:rPr>
      </w:pPr>
    </w:p>
    <w:p w14:paraId="00593493">
      <w:pPr>
        <w:rPr>
          <w:rFonts w:ascii="宋体" w:hAnsi="宋体" w:eastAsia="宋体" w:cs="宋体"/>
        </w:rPr>
      </w:pPr>
    </w:p>
    <w:p w14:paraId="6601B7D9">
      <w:pPr>
        <w:rPr>
          <w:rFonts w:ascii="宋体" w:hAnsi="宋体" w:eastAsia="宋体" w:cs="宋体"/>
        </w:rPr>
      </w:pPr>
    </w:p>
    <w:p w14:paraId="719FE52F">
      <w:pPr>
        <w:rPr>
          <w:rFonts w:ascii="宋体" w:hAnsi="宋体" w:eastAsia="宋体" w:cs="宋体"/>
        </w:rPr>
      </w:pPr>
    </w:p>
    <w:p w14:paraId="0DE7136E">
      <w:pPr>
        <w:rPr>
          <w:rFonts w:ascii="宋体" w:hAnsi="宋体" w:eastAsia="宋体" w:cs="宋体"/>
        </w:rPr>
      </w:pPr>
    </w:p>
    <w:p w14:paraId="1762731D">
      <w:pPr>
        <w:jc w:val="center"/>
        <w:rPr>
          <w:rFonts w:ascii="宋体" w:hAnsi="宋体" w:eastAsia="宋体" w:cs="宋体"/>
          <w:b/>
          <w:sz w:val="49"/>
        </w:rPr>
      </w:pPr>
      <w:r>
        <w:rPr>
          <w:rFonts w:ascii="宋体" w:hAnsi="宋体" w:eastAsia="宋体" w:cs="宋体"/>
          <w:b/>
          <w:sz w:val="49"/>
        </w:rPr>
        <w:t>攀枝花市灵活就业人员住房公积金</w:t>
      </w:r>
    </w:p>
    <w:p w14:paraId="54153B92">
      <w:pPr>
        <w:jc w:val="center"/>
        <w:rPr>
          <w:rFonts w:ascii="Calibri" w:hAnsi="Calibri" w:eastAsia="Calibri" w:cs="Calibri"/>
          <w:sz w:val="49"/>
        </w:rPr>
      </w:pPr>
      <w:r>
        <w:rPr>
          <w:rFonts w:ascii="宋体" w:hAnsi="宋体" w:eastAsia="宋体" w:cs="宋体"/>
          <w:b/>
          <w:sz w:val="49"/>
        </w:rPr>
        <w:t>缴存使用协议</w:t>
      </w:r>
    </w:p>
    <w:p w14:paraId="021C59A1">
      <w:pPr>
        <w:rPr>
          <w:rFonts w:ascii="宋体" w:hAnsi="宋体" w:eastAsia="宋体" w:cs="宋体"/>
        </w:rPr>
      </w:pPr>
    </w:p>
    <w:p w14:paraId="0B1F5497">
      <w:pPr>
        <w:rPr>
          <w:rFonts w:ascii="宋体" w:hAnsi="宋体" w:eastAsia="宋体" w:cs="宋体"/>
        </w:rPr>
      </w:pPr>
    </w:p>
    <w:p w14:paraId="1962082E">
      <w:pPr>
        <w:rPr>
          <w:rFonts w:ascii="宋体" w:hAnsi="宋体" w:eastAsia="宋体" w:cs="宋体"/>
        </w:rPr>
      </w:pPr>
    </w:p>
    <w:p w14:paraId="4FB5F2ED">
      <w:pPr>
        <w:rPr>
          <w:rFonts w:ascii="宋体" w:hAnsi="宋体" w:eastAsia="宋体" w:cs="宋体"/>
        </w:rPr>
      </w:pPr>
    </w:p>
    <w:p w14:paraId="05878621">
      <w:pPr>
        <w:rPr>
          <w:rFonts w:ascii="宋体" w:hAnsi="宋体" w:eastAsia="宋体" w:cs="宋体"/>
        </w:rPr>
      </w:pPr>
    </w:p>
    <w:p w14:paraId="4FAB07F9">
      <w:pPr>
        <w:rPr>
          <w:rFonts w:ascii="宋体" w:hAnsi="宋体" w:eastAsia="宋体" w:cs="宋体"/>
        </w:rPr>
      </w:pPr>
    </w:p>
    <w:p w14:paraId="666CAA0C">
      <w:pPr>
        <w:rPr>
          <w:rFonts w:ascii="宋体" w:hAnsi="宋体" w:eastAsia="宋体" w:cs="宋体"/>
        </w:rPr>
      </w:pPr>
    </w:p>
    <w:p w14:paraId="18C285C8">
      <w:pPr>
        <w:rPr>
          <w:rFonts w:ascii="宋体" w:hAnsi="宋体" w:eastAsia="宋体" w:cs="宋体"/>
        </w:rPr>
      </w:pPr>
    </w:p>
    <w:p w14:paraId="20B3210F">
      <w:pPr>
        <w:rPr>
          <w:rFonts w:ascii="宋体" w:hAnsi="宋体" w:eastAsia="宋体" w:cs="宋体"/>
        </w:rPr>
      </w:pPr>
    </w:p>
    <w:p w14:paraId="1DC6BEF3">
      <w:pPr>
        <w:rPr>
          <w:rFonts w:ascii="宋体" w:hAnsi="宋体" w:eastAsia="宋体" w:cs="宋体"/>
        </w:rPr>
      </w:pPr>
    </w:p>
    <w:p w14:paraId="7E46A5BC">
      <w:pPr>
        <w:rPr>
          <w:rFonts w:ascii="宋体" w:hAnsi="宋体" w:eastAsia="宋体" w:cs="宋体"/>
        </w:rPr>
      </w:pPr>
    </w:p>
    <w:p w14:paraId="05C33CB4">
      <w:pPr>
        <w:rPr>
          <w:rFonts w:ascii="宋体" w:hAnsi="宋体" w:eastAsia="宋体" w:cs="宋体"/>
        </w:rPr>
      </w:pPr>
    </w:p>
    <w:p w14:paraId="3178D6FC">
      <w:pPr>
        <w:rPr>
          <w:rFonts w:ascii="宋体" w:hAnsi="宋体" w:eastAsia="宋体" w:cs="宋体"/>
        </w:rPr>
      </w:pPr>
    </w:p>
    <w:p w14:paraId="00A2E34B">
      <w:pPr>
        <w:rPr>
          <w:rFonts w:ascii="宋体" w:hAnsi="宋体" w:eastAsia="宋体" w:cs="宋体"/>
        </w:rPr>
      </w:pPr>
    </w:p>
    <w:p w14:paraId="4D9329BE">
      <w:pPr>
        <w:spacing w:line="254" w:lineRule="auto"/>
        <w:jc w:val="center"/>
        <w:rPr>
          <w:rFonts w:ascii="Calibri" w:hAnsi="Calibri" w:eastAsia="Calibri" w:cs="Calibri"/>
          <w:sz w:val="33"/>
        </w:rPr>
      </w:pPr>
      <w:r>
        <w:rPr>
          <w:rFonts w:ascii="宋体" w:hAnsi="宋体" w:eastAsia="宋体" w:cs="宋体"/>
          <w:sz w:val="33"/>
          <w:u w:val="single"/>
        </w:rPr>
        <w:t>攀枝花市住房公积金管理中心</w:t>
      </w:r>
      <w:r>
        <w:rPr>
          <w:rFonts w:ascii="宋体" w:hAnsi="宋体" w:eastAsia="宋体" w:cs="宋体"/>
          <w:sz w:val="33"/>
        </w:rPr>
        <w:t>制</w:t>
      </w:r>
    </w:p>
    <w:p w14:paraId="461429AA">
      <w:pPr>
        <w:rPr>
          <w:rFonts w:ascii="宋体" w:hAnsi="宋体" w:eastAsia="宋体" w:cs="宋体"/>
        </w:rPr>
      </w:pPr>
    </w:p>
    <w:p w14:paraId="7A4C34F8">
      <w:pPr>
        <w:rPr>
          <w:rFonts w:ascii="宋体" w:hAnsi="宋体" w:eastAsia="宋体" w:cs="宋体"/>
        </w:rPr>
      </w:pPr>
    </w:p>
    <w:p w14:paraId="1724B2AA">
      <w:pPr>
        <w:spacing w:line="278" w:lineRule="auto"/>
        <w:jc w:val="center"/>
        <w:rPr>
          <w:rFonts w:ascii="Calibri" w:hAnsi="Calibri" w:eastAsia="Calibri" w:cs="Calibri"/>
          <w:sz w:val="33"/>
          <w:u w:val="single"/>
        </w:rPr>
      </w:pPr>
      <w:r>
        <w:rPr>
          <w:rFonts w:ascii="宋体" w:hAnsi="宋体" w:eastAsia="宋体" w:cs="宋体"/>
          <w:sz w:val="33"/>
          <w:u w:val="single"/>
        </w:rPr>
        <w:t xml:space="preserve">   年   月   日</w:t>
      </w:r>
    </w:p>
    <w:p w14:paraId="3FD064F9">
      <w:pPr>
        <w:jc w:val="center"/>
        <w:rPr>
          <w:rFonts w:ascii="宋体" w:hAnsi="宋体" w:eastAsia="宋体" w:cs="宋体"/>
          <w:b/>
          <w:sz w:val="35"/>
        </w:rPr>
      </w:pPr>
    </w:p>
    <w:p w14:paraId="3AC75FDB">
      <w:pPr>
        <w:jc w:val="center"/>
        <w:rPr>
          <w:rFonts w:ascii="宋体" w:hAnsi="宋体" w:eastAsia="宋体" w:cs="宋体"/>
          <w:b/>
          <w:sz w:val="35"/>
        </w:rPr>
      </w:pPr>
    </w:p>
    <w:p w14:paraId="41698B32">
      <w:pPr>
        <w:jc w:val="center"/>
        <w:rPr>
          <w:rFonts w:ascii="Calibri" w:hAnsi="Calibri" w:eastAsia="Calibri" w:cs="Calibri"/>
          <w:sz w:val="35"/>
        </w:rPr>
      </w:pPr>
      <w:r>
        <w:rPr>
          <w:rFonts w:ascii="宋体" w:hAnsi="宋体" w:eastAsia="宋体" w:cs="宋体"/>
          <w:b/>
          <w:sz w:val="35"/>
        </w:rPr>
        <w:t>使用须知</w:t>
      </w:r>
    </w:p>
    <w:p w14:paraId="7ED22A20">
      <w:pPr>
        <w:rPr>
          <w:rFonts w:ascii="宋体" w:hAnsi="宋体" w:eastAsia="宋体" w:cs="宋体"/>
        </w:rPr>
      </w:pPr>
    </w:p>
    <w:p w14:paraId="259DEC55">
      <w:pPr>
        <w:spacing w:before="32" w:line="384" w:lineRule="auto"/>
        <w:ind w:left="60" w:right="100" w:firstLine="540"/>
        <w:rPr>
          <w:rFonts w:ascii="Calibri" w:hAnsi="Calibri" w:eastAsia="Calibri" w:cs="Calibri"/>
          <w:sz w:val="26"/>
        </w:rPr>
      </w:pPr>
      <w:r>
        <w:rPr>
          <w:rFonts w:ascii="宋体" w:hAnsi="宋体" w:eastAsia="宋体" w:cs="宋体"/>
          <w:sz w:val="26"/>
        </w:rPr>
        <w:t>一、本协议文本供灵活就业人员参加住房公积金制度，与住房公积金管理中心签订缴存使用协议时使用。</w:t>
      </w:r>
    </w:p>
    <w:p w14:paraId="3E393730">
      <w:pPr>
        <w:spacing w:line="384" w:lineRule="auto"/>
        <w:ind w:left="60" w:right="100" w:firstLine="540"/>
        <w:rPr>
          <w:rFonts w:ascii="Calibri" w:hAnsi="Calibri" w:eastAsia="Calibri" w:cs="Calibri"/>
          <w:sz w:val="26"/>
        </w:rPr>
      </w:pPr>
      <w:r>
        <w:rPr>
          <w:rFonts w:ascii="宋体" w:hAnsi="宋体" w:eastAsia="宋体" w:cs="宋体"/>
          <w:sz w:val="26"/>
        </w:rPr>
        <w:t>二、住房公积金管理中心与灵活就业人员就参加住房公积金制度的相关事项协商一致后，应签订书面缴存使用协议。</w:t>
      </w:r>
    </w:p>
    <w:p w14:paraId="276D8462">
      <w:pPr>
        <w:spacing w:line="336" w:lineRule="auto"/>
        <w:ind w:left="20" w:right="100" w:firstLine="520"/>
        <w:rPr>
          <w:rFonts w:ascii="宋体" w:hAnsi="宋体" w:eastAsia="宋体" w:cs="宋体"/>
        </w:rPr>
      </w:pPr>
      <w:r>
        <w:rPr>
          <w:rFonts w:ascii="宋体" w:hAnsi="宋体" w:eastAsia="宋体" w:cs="宋体"/>
          <w:sz w:val="26"/>
        </w:rPr>
        <w:t>三、住房公积金管理中心应当向灵活就业人员提示住房公积金缴存、提取、贷款等事项，灵活就业人员应当按照住房公积金管理中心的要求如实填写个人情况，提供相关证明材料。</w:t>
      </w:r>
    </w:p>
    <w:p w14:paraId="2AA763BF">
      <w:pPr>
        <w:spacing w:line="336" w:lineRule="auto"/>
        <w:ind w:left="20" w:right="100" w:firstLine="520"/>
        <w:rPr>
          <w:rFonts w:ascii="宋体" w:hAnsi="宋体" w:eastAsia="宋体" w:cs="宋体"/>
          <w:sz w:val="26"/>
        </w:rPr>
      </w:pPr>
      <w:r>
        <w:rPr>
          <w:rFonts w:ascii="宋体" w:hAnsi="宋体" w:eastAsia="宋体" w:cs="宋体"/>
          <w:sz w:val="26"/>
        </w:rPr>
        <w:t>四、本协议文本中与灵活就业人员有重大利害关系的条款以加粗加下划线的方式进行特别提示，灵活就业人员应当认真阅读并确保已完全理解上述条款。住房公积金管理中心应当按照灵活就业人员的要求对上述条款进行解释。</w:t>
      </w:r>
    </w:p>
    <w:p w14:paraId="1D11D3DE">
      <w:pPr>
        <w:spacing w:line="336" w:lineRule="auto"/>
        <w:ind w:left="20" w:right="100" w:firstLine="520"/>
        <w:rPr>
          <w:rFonts w:ascii="Calibri" w:hAnsi="Calibri" w:eastAsia="Calibri" w:cs="Calibri"/>
          <w:sz w:val="26"/>
        </w:rPr>
      </w:pPr>
      <w:r>
        <w:rPr>
          <w:rFonts w:ascii="宋体" w:hAnsi="宋体" w:eastAsia="宋体" w:cs="宋体"/>
          <w:sz w:val="26"/>
        </w:rPr>
        <w:t>五、缴存使用协议可采用纸质或电子方式订立。如采用纸质方式，应使用黑色、蓝色签字笔填写和签字，字迹清楚，不得涂改。确需涂改的，应由双方在涂改处签字或盖章确认。如采用电子方式，电子签名及盖章方式应符合《中华人民共和国电子签名法》第十三条之规定。</w:t>
      </w:r>
    </w:p>
    <w:p w14:paraId="025D9E45">
      <w:pPr>
        <w:spacing w:line="384" w:lineRule="auto"/>
        <w:ind w:left="20" w:right="140" w:firstLine="500"/>
        <w:rPr>
          <w:rFonts w:ascii="Calibri" w:hAnsi="Calibri" w:eastAsia="Calibri" w:cs="Calibri"/>
          <w:sz w:val="26"/>
        </w:rPr>
      </w:pPr>
      <w:r>
        <w:rPr>
          <w:rFonts w:ascii="宋体" w:hAnsi="宋体" w:eastAsia="宋体" w:cs="宋体"/>
          <w:sz w:val="26"/>
        </w:rPr>
        <w:t>六、依法签订的缴存使用协议具有法律效力，双方应按照协议约定全面履行各自义务。</w:t>
      </w:r>
    </w:p>
    <w:p w14:paraId="2B1B4F13">
      <w:pPr>
        <w:spacing w:line="292" w:lineRule="auto"/>
        <w:ind w:firstLine="40"/>
        <w:rPr>
          <w:rFonts w:ascii="宋体" w:hAnsi="宋体" w:eastAsia="宋体" w:cs="宋体"/>
          <w:sz w:val="24"/>
        </w:rPr>
      </w:pPr>
    </w:p>
    <w:p w14:paraId="10088991">
      <w:pPr>
        <w:spacing w:line="292" w:lineRule="auto"/>
        <w:ind w:firstLine="40"/>
        <w:rPr>
          <w:rFonts w:ascii="宋体" w:hAnsi="宋体" w:eastAsia="宋体" w:cs="宋体"/>
          <w:sz w:val="24"/>
        </w:rPr>
      </w:pPr>
    </w:p>
    <w:p w14:paraId="2883B724">
      <w:pPr>
        <w:spacing w:line="292" w:lineRule="auto"/>
        <w:ind w:firstLine="40"/>
        <w:rPr>
          <w:rFonts w:ascii="宋体" w:hAnsi="宋体" w:eastAsia="宋体" w:cs="宋体"/>
          <w:sz w:val="24"/>
        </w:rPr>
      </w:pPr>
    </w:p>
    <w:p w14:paraId="07EFAC61">
      <w:pPr>
        <w:spacing w:line="292" w:lineRule="auto"/>
        <w:ind w:firstLine="40"/>
        <w:rPr>
          <w:rFonts w:ascii="宋体" w:hAnsi="宋体" w:eastAsia="宋体" w:cs="宋体"/>
          <w:sz w:val="24"/>
        </w:rPr>
      </w:pPr>
    </w:p>
    <w:p w14:paraId="1EB39FD6">
      <w:pPr>
        <w:spacing w:line="292" w:lineRule="auto"/>
        <w:ind w:firstLine="40"/>
        <w:rPr>
          <w:rFonts w:ascii="宋体" w:hAnsi="宋体" w:eastAsia="宋体" w:cs="宋体"/>
          <w:sz w:val="24"/>
        </w:rPr>
      </w:pPr>
    </w:p>
    <w:p w14:paraId="5F6D27A4">
      <w:pPr>
        <w:spacing w:line="292" w:lineRule="auto"/>
        <w:ind w:firstLine="40"/>
        <w:rPr>
          <w:rFonts w:ascii="宋体" w:hAnsi="宋体" w:eastAsia="宋体" w:cs="宋体"/>
          <w:sz w:val="24"/>
        </w:rPr>
      </w:pPr>
    </w:p>
    <w:p w14:paraId="19E98D9D">
      <w:pPr>
        <w:keepNext w:val="0"/>
        <w:keepLines w:val="0"/>
        <w:pageBreakBefore w:val="0"/>
        <w:widowControl w:val="0"/>
        <w:kinsoku/>
        <w:wordWrap/>
        <w:overflowPunct/>
        <w:topLinePunct w:val="0"/>
        <w:autoSpaceDE/>
        <w:autoSpaceDN/>
        <w:bidi w:val="0"/>
        <w:adjustRightInd w:val="0"/>
        <w:snapToGrid/>
        <w:spacing w:line="276" w:lineRule="auto"/>
        <w:ind w:firstLine="0"/>
        <w:textAlignment w:val="auto"/>
        <w:rPr>
          <w:rFonts w:ascii="Calibri" w:hAnsi="Calibri" w:eastAsia="宋体" w:cs="Calibri"/>
          <w:sz w:val="24"/>
        </w:rPr>
      </w:pPr>
      <w:r>
        <w:rPr>
          <w:rFonts w:ascii="宋体" w:hAnsi="宋体" w:eastAsia="宋体" w:cs="宋体"/>
          <w:sz w:val="24"/>
        </w:rPr>
        <w:t>甲方（姓名）：</w:t>
      </w:r>
    </w:p>
    <w:p w14:paraId="4601166E">
      <w:pPr>
        <w:keepNext w:val="0"/>
        <w:keepLines w:val="0"/>
        <w:pageBreakBefore w:val="0"/>
        <w:widowControl w:val="0"/>
        <w:kinsoku/>
        <w:wordWrap/>
        <w:overflowPunct/>
        <w:topLinePunct w:val="0"/>
        <w:autoSpaceDE/>
        <w:autoSpaceDN/>
        <w:bidi w:val="0"/>
        <w:adjustRightInd w:val="0"/>
        <w:snapToGrid/>
        <w:spacing w:line="276" w:lineRule="auto"/>
        <w:ind w:firstLine="0"/>
        <w:textAlignment w:val="auto"/>
        <w:rPr>
          <w:rFonts w:ascii="Calibri" w:hAnsi="Calibri" w:eastAsia="宋体" w:cs="Calibri"/>
          <w:sz w:val="24"/>
        </w:rPr>
      </w:pPr>
      <w:r>
        <w:rPr>
          <w:rFonts w:ascii="宋体" w:hAnsi="宋体" w:eastAsia="宋体" w:cs="宋体"/>
          <w:sz w:val="24"/>
        </w:rPr>
        <w:t>证件类型：</w:t>
      </w:r>
    </w:p>
    <w:p w14:paraId="2DB490E9">
      <w:pPr>
        <w:keepNext w:val="0"/>
        <w:keepLines w:val="0"/>
        <w:pageBreakBefore w:val="0"/>
        <w:widowControl w:val="0"/>
        <w:kinsoku/>
        <w:wordWrap/>
        <w:overflowPunct/>
        <w:topLinePunct w:val="0"/>
        <w:autoSpaceDE/>
        <w:autoSpaceDN/>
        <w:bidi w:val="0"/>
        <w:adjustRightInd w:val="0"/>
        <w:snapToGrid/>
        <w:spacing w:line="276" w:lineRule="auto"/>
        <w:ind w:firstLine="0"/>
        <w:textAlignment w:val="auto"/>
        <w:rPr>
          <w:rFonts w:ascii="Calibri" w:hAnsi="Calibri" w:eastAsia="宋体" w:cs="Calibri"/>
          <w:sz w:val="24"/>
        </w:rPr>
      </w:pPr>
      <w:r>
        <w:rPr>
          <w:rFonts w:ascii="宋体" w:hAnsi="宋体" w:eastAsia="宋体" w:cs="宋体"/>
          <w:sz w:val="24"/>
        </w:rPr>
        <w:t>证件号：</w:t>
      </w:r>
    </w:p>
    <w:p w14:paraId="7722CB97">
      <w:pPr>
        <w:keepNext w:val="0"/>
        <w:keepLines w:val="0"/>
        <w:pageBreakBefore w:val="0"/>
        <w:widowControl w:val="0"/>
        <w:kinsoku/>
        <w:wordWrap/>
        <w:overflowPunct/>
        <w:topLinePunct w:val="0"/>
        <w:autoSpaceDE/>
        <w:autoSpaceDN/>
        <w:bidi w:val="0"/>
        <w:adjustRightInd w:val="0"/>
        <w:snapToGrid/>
        <w:spacing w:line="276" w:lineRule="auto"/>
        <w:ind w:firstLine="0"/>
        <w:textAlignment w:val="auto"/>
        <w:rPr>
          <w:rFonts w:ascii="Calibri" w:hAnsi="Calibri" w:eastAsia="宋体" w:cs="Calibri"/>
          <w:sz w:val="24"/>
        </w:rPr>
      </w:pPr>
      <w:r>
        <w:rPr>
          <w:rFonts w:ascii="宋体" w:hAnsi="宋体" w:eastAsia="宋体" w:cs="宋体"/>
          <w:sz w:val="24"/>
        </w:rPr>
        <w:t>手机号：</w:t>
      </w:r>
    </w:p>
    <w:p w14:paraId="6332F036">
      <w:pPr>
        <w:keepNext w:val="0"/>
        <w:keepLines w:val="0"/>
        <w:pageBreakBefore w:val="0"/>
        <w:widowControl w:val="0"/>
        <w:kinsoku/>
        <w:wordWrap/>
        <w:overflowPunct/>
        <w:topLinePunct w:val="0"/>
        <w:autoSpaceDE/>
        <w:autoSpaceDN/>
        <w:bidi w:val="0"/>
        <w:adjustRightInd w:val="0"/>
        <w:snapToGrid/>
        <w:spacing w:line="276" w:lineRule="auto"/>
        <w:ind w:firstLine="0"/>
        <w:textAlignment w:val="auto"/>
        <w:rPr>
          <w:rFonts w:ascii="Calibri" w:hAnsi="Calibri" w:eastAsia="宋体" w:cs="Calibri"/>
          <w:sz w:val="24"/>
        </w:rPr>
      </w:pPr>
      <w:r>
        <w:rPr>
          <w:rFonts w:ascii="宋体" w:hAnsi="宋体" w:eastAsia="宋体" w:cs="宋体"/>
          <w:sz w:val="24"/>
        </w:rPr>
        <w:t>住所：</w:t>
      </w:r>
    </w:p>
    <w:p w14:paraId="0002A173">
      <w:pPr>
        <w:keepNext w:val="0"/>
        <w:keepLines w:val="0"/>
        <w:pageBreakBefore w:val="0"/>
        <w:widowControl w:val="0"/>
        <w:kinsoku/>
        <w:wordWrap/>
        <w:overflowPunct/>
        <w:topLinePunct w:val="0"/>
        <w:autoSpaceDE/>
        <w:autoSpaceDN/>
        <w:bidi w:val="0"/>
        <w:adjustRightInd w:val="0"/>
        <w:snapToGrid/>
        <w:spacing w:line="276" w:lineRule="auto"/>
        <w:ind w:firstLine="0"/>
        <w:textAlignment w:val="auto"/>
        <w:rPr>
          <w:rFonts w:ascii="宋体" w:hAnsi="宋体" w:eastAsia="宋体" w:cs="宋体"/>
          <w:sz w:val="24"/>
        </w:rPr>
      </w:pPr>
    </w:p>
    <w:p w14:paraId="7041FE33">
      <w:pPr>
        <w:keepNext w:val="0"/>
        <w:keepLines w:val="0"/>
        <w:pageBreakBefore w:val="0"/>
        <w:widowControl w:val="0"/>
        <w:kinsoku/>
        <w:wordWrap/>
        <w:overflowPunct/>
        <w:topLinePunct w:val="0"/>
        <w:autoSpaceDE/>
        <w:autoSpaceDN/>
        <w:bidi w:val="0"/>
        <w:adjustRightInd w:val="0"/>
        <w:snapToGrid/>
        <w:spacing w:line="276" w:lineRule="auto"/>
        <w:ind w:firstLine="0"/>
        <w:textAlignment w:val="auto"/>
        <w:rPr>
          <w:rFonts w:ascii="Calibri" w:hAnsi="Calibri" w:eastAsia="宋体" w:cs="Calibri"/>
          <w:sz w:val="24"/>
        </w:rPr>
      </w:pPr>
      <w:r>
        <w:rPr>
          <w:rFonts w:ascii="宋体" w:hAnsi="宋体" w:eastAsia="宋体" w:cs="宋体"/>
          <w:sz w:val="24"/>
        </w:rPr>
        <w:t>乙方：</w:t>
      </w:r>
      <w:r>
        <w:rPr>
          <w:rFonts w:ascii="宋体" w:hAnsi="宋体" w:eastAsia="宋体" w:cs="宋体"/>
          <w:sz w:val="24"/>
          <w:u w:val="single"/>
        </w:rPr>
        <w:t>攀枝花市住房公积金管理中心</w:t>
      </w:r>
    </w:p>
    <w:p w14:paraId="0A710B4E">
      <w:pPr>
        <w:keepNext w:val="0"/>
        <w:keepLines w:val="0"/>
        <w:pageBreakBefore w:val="0"/>
        <w:widowControl w:val="0"/>
        <w:kinsoku/>
        <w:wordWrap/>
        <w:overflowPunct/>
        <w:topLinePunct w:val="0"/>
        <w:autoSpaceDE/>
        <w:autoSpaceDN/>
        <w:bidi w:val="0"/>
        <w:adjustRightInd w:val="0"/>
        <w:snapToGrid/>
        <w:spacing w:line="276" w:lineRule="auto"/>
        <w:ind w:firstLine="0"/>
        <w:textAlignment w:val="auto"/>
        <w:rPr>
          <w:rFonts w:ascii="Calibri" w:hAnsi="Calibri" w:eastAsia="宋体" w:cs="Calibri"/>
          <w:sz w:val="24"/>
        </w:rPr>
      </w:pPr>
      <w:r>
        <w:rPr>
          <w:rFonts w:ascii="宋体" w:hAnsi="宋体" w:eastAsia="宋体" w:cs="宋体"/>
          <w:sz w:val="24"/>
        </w:rPr>
        <w:t>住所：</w:t>
      </w:r>
    </w:p>
    <w:p w14:paraId="5B97663F">
      <w:pPr>
        <w:keepNext w:val="0"/>
        <w:keepLines w:val="0"/>
        <w:pageBreakBefore w:val="0"/>
        <w:widowControl w:val="0"/>
        <w:kinsoku/>
        <w:wordWrap/>
        <w:overflowPunct/>
        <w:topLinePunct w:val="0"/>
        <w:autoSpaceDE/>
        <w:autoSpaceDN/>
        <w:bidi w:val="0"/>
        <w:adjustRightInd w:val="0"/>
        <w:snapToGrid/>
        <w:spacing w:line="276" w:lineRule="auto"/>
        <w:ind w:firstLine="0"/>
        <w:textAlignment w:val="auto"/>
        <w:rPr>
          <w:rFonts w:ascii="宋体" w:hAnsi="宋体" w:eastAsia="宋体" w:cs="宋体"/>
          <w:sz w:val="24"/>
        </w:rPr>
      </w:pPr>
    </w:p>
    <w:p w14:paraId="4A70141B">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jc w:val="left"/>
        <w:textAlignment w:val="auto"/>
        <w:rPr>
          <w:rFonts w:ascii="Calibri" w:hAnsi="Calibri" w:eastAsia="宋体" w:cs="Calibri"/>
          <w:sz w:val="24"/>
        </w:rPr>
      </w:pPr>
      <w:r>
        <w:rPr>
          <w:rFonts w:ascii="宋体" w:hAnsi="宋体" w:eastAsia="宋体" w:cs="宋体"/>
          <w:sz w:val="24"/>
        </w:rPr>
        <w:t>为明确甲乙双方的权利和义务，经友好协商，同意按照</w:t>
      </w:r>
      <w:r>
        <w:rPr>
          <w:rFonts w:ascii="宋体" w:hAnsi="宋体" w:eastAsia="宋体" w:cs="宋体"/>
          <w:sz w:val="24"/>
          <w:u w:val="single"/>
        </w:rPr>
        <w:t>《攀枝花市灵活就业人员参加住房公积金制度管理办法（试行）》《攀枝花市灵活就业人员参加住房公积金制度缴存使用实施细则》</w:t>
      </w:r>
      <w:r>
        <w:rPr>
          <w:rFonts w:ascii="宋体" w:hAnsi="宋体" w:eastAsia="宋体" w:cs="宋体"/>
          <w:sz w:val="24"/>
        </w:rPr>
        <w:t>等相关规定，达成如下协议，以供甲乙双方共同遵守。</w:t>
      </w:r>
    </w:p>
    <w:p w14:paraId="61C4D0C1">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Calibri" w:hAnsi="Calibri" w:eastAsia="宋体" w:cs="Calibri"/>
          <w:sz w:val="24"/>
        </w:rPr>
      </w:pPr>
      <w:r>
        <w:rPr>
          <w:rFonts w:ascii="宋体" w:hAnsi="宋体" w:eastAsia="宋体" w:cs="宋体"/>
          <w:b/>
          <w:sz w:val="24"/>
        </w:rPr>
        <w:t>一、缴存资格</w:t>
      </w:r>
    </w:p>
    <w:p w14:paraId="11C02609">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Calibri" w:hAnsi="Calibri" w:eastAsia="宋体" w:cs="Calibri"/>
          <w:sz w:val="24"/>
        </w:rPr>
      </w:pPr>
      <w:r>
        <w:rPr>
          <w:rFonts w:ascii="宋体" w:hAnsi="宋体" w:eastAsia="宋体" w:cs="宋体"/>
          <w:b/>
          <w:sz w:val="24"/>
        </w:rPr>
        <w:t>第一条</w:t>
      </w:r>
      <w:r>
        <w:rPr>
          <w:rFonts w:ascii="宋体" w:hAnsi="宋体" w:eastAsia="宋体" w:cs="宋体"/>
          <w:sz w:val="24"/>
        </w:rPr>
        <w:t xml:space="preserve"> 甲方确认充分知晓并承诺完全符合下列住房公积金的缴存资格要求：</w:t>
      </w:r>
    </w:p>
    <w:p w14:paraId="0DE1F8F5">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Calibri" w:hAnsi="Calibri" w:eastAsia="宋体" w:cs="Calibri"/>
          <w:sz w:val="24"/>
        </w:rPr>
      </w:pPr>
      <w:r>
        <w:rPr>
          <w:rFonts w:ascii="Calibri" w:hAnsi="Calibri" w:eastAsia="宋体" w:cs="Calibri"/>
          <w:sz w:val="24"/>
        </w:rPr>
        <w:t>1</w:t>
      </w:r>
      <w:r>
        <w:rPr>
          <w:rFonts w:ascii="宋体" w:hAnsi="宋体" w:eastAsia="宋体" w:cs="宋体"/>
          <w:sz w:val="24"/>
        </w:rPr>
        <w:t>．具备订立本协议的民事行为能力；</w:t>
      </w:r>
    </w:p>
    <w:p w14:paraId="5D8F42F1">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Calibri" w:hAnsi="Calibri" w:eastAsia="宋体" w:cs="Calibri"/>
          <w:sz w:val="24"/>
        </w:rPr>
      </w:pPr>
      <w:r>
        <w:rPr>
          <w:rFonts w:ascii="Calibri" w:hAnsi="Calibri" w:eastAsia="宋体" w:cs="Calibri"/>
          <w:sz w:val="24"/>
        </w:rPr>
        <w:t>2</w:t>
      </w:r>
      <w:r>
        <w:rPr>
          <w:rFonts w:ascii="宋体" w:hAnsi="宋体" w:eastAsia="宋体" w:cs="宋体"/>
          <w:sz w:val="24"/>
        </w:rPr>
        <w:t>．为个体工商户、自由职业者、非全日制等灵活就业人员；或者不属于国家机关、国有企业、城镇集体企业、外商投资企业、城镇私营企业及其他城镇企业、事业单位、民办非企业单位、社会团体的在职职工；</w:t>
      </w:r>
    </w:p>
    <w:p w14:paraId="5F8F82DB">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Calibri" w:hAnsi="Calibri" w:eastAsia="宋体" w:cs="Calibri"/>
          <w:sz w:val="24"/>
        </w:rPr>
      </w:pPr>
      <w:r>
        <w:rPr>
          <w:rFonts w:ascii="Calibri" w:hAnsi="Calibri" w:eastAsia="宋体" w:cs="Calibri"/>
          <w:sz w:val="24"/>
        </w:rPr>
        <w:t>3</w:t>
      </w:r>
      <w:r>
        <w:rPr>
          <w:rFonts w:ascii="宋体" w:hAnsi="宋体" w:eastAsia="宋体" w:cs="宋体"/>
          <w:sz w:val="24"/>
        </w:rPr>
        <w:t>．在全国范围内未开设住房公积金账户，或者原账户已经封存；</w:t>
      </w:r>
    </w:p>
    <w:p w14:paraId="08EA460B">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Calibri" w:hAnsi="Calibri" w:eastAsia="宋体" w:cs="Calibri"/>
          <w:sz w:val="24"/>
        </w:rPr>
      </w:pPr>
      <w:r>
        <w:rPr>
          <w:rFonts w:ascii="Calibri" w:hAnsi="Calibri" w:eastAsia="宋体" w:cs="Calibri"/>
          <w:sz w:val="24"/>
        </w:rPr>
        <w:t>4</w:t>
      </w:r>
      <w:r>
        <w:rPr>
          <w:rFonts w:ascii="宋体" w:hAnsi="宋体" w:eastAsia="宋体" w:cs="宋体"/>
          <w:sz w:val="24"/>
        </w:rPr>
        <w:t>．信用状况良好，未被列入失信被执行人名单。</w:t>
      </w:r>
    </w:p>
    <w:p w14:paraId="354C09E6">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Calibri" w:hAnsi="Calibri" w:eastAsia="宋体" w:cs="Calibri"/>
          <w:b/>
          <w:bCs/>
          <w:sz w:val="24"/>
          <w:u w:val="single"/>
        </w:rPr>
      </w:pPr>
      <w:r>
        <w:rPr>
          <w:rFonts w:ascii="宋体" w:hAnsi="宋体" w:eastAsia="宋体" w:cs="宋体"/>
          <w:b/>
          <w:bCs/>
          <w:sz w:val="24"/>
          <w:u w:val="single"/>
        </w:rPr>
        <w:t>甲方承诺所提供的信息均真实、准确、完整、有效，自愿按本协议缴存住房公积金，并接受乙方的服务，期间不同时通过单位代扣代缴方式缴存住房公积金。</w:t>
      </w:r>
    </w:p>
    <w:p w14:paraId="23738213">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Calibri" w:hAnsi="Calibri" w:eastAsia="宋体" w:cs="Calibri"/>
          <w:sz w:val="24"/>
        </w:rPr>
      </w:pPr>
      <w:r>
        <w:rPr>
          <w:rFonts w:ascii="宋体" w:hAnsi="宋体" w:eastAsia="宋体" w:cs="宋体"/>
          <w:b/>
          <w:sz w:val="24"/>
          <w:u w:val="single"/>
        </w:rPr>
        <w:t>甲方在此同意，在协议订立和履行期间授权乙方核查所提交的缴存资格信息。</w:t>
      </w:r>
    </w:p>
    <w:p w14:paraId="3791E26A">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Calibri" w:hAnsi="Calibri" w:eastAsia="宋体" w:cs="Calibri"/>
          <w:sz w:val="24"/>
        </w:rPr>
      </w:pPr>
      <w:r>
        <w:rPr>
          <w:rFonts w:ascii="宋体" w:hAnsi="宋体" w:eastAsia="宋体" w:cs="宋体"/>
          <w:b/>
          <w:sz w:val="24"/>
        </w:rPr>
        <w:t>二、住房公积金业务办理</w:t>
      </w:r>
    </w:p>
    <w:p w14:paraId="6112EB60">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Calibri" w:hAnsi="Calibri" w:eastAsia="宋体" w:cs="Calibri"/>
          <w:sz w:val="24"/>
        </w:rPr>
      </w:pPr>
      <w:r>
        <w:rPr>
          <w:rFonts w:ascii="宋体" w:hAnsi="宋体" w:eastAsia="宋体" w:cs="宋体"/>
          <w:b/>
          <w:sz w:val="24"/>
        </w:rPr>
        <w:t>第二条</w:t>
      </w:r>
      <w:r>
        <w:rPr>
          <w:rFonts w:ascii="宋体" w:hAnsi="宋体" w:eastAsia="宋体" w:cs="宋体"/>
          <w:sz w:val="24"/>
        </w:rPr>
        <w:t xml:space="preserve"> 甲方可以通过乙方线上服务渠道或业务网点办理缴存、提取、贷款以及查询、开具相关证明等业务。存在下列情形之一时，乙方有权暂停办理或拒绝甲方的住房公积金业务申请：</w:t>
      </w:r>
    </w:p>
    <w:p w14:paraId="7E0362BA">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Calibri" w:hAnsi="Calibri" w:eastAsia="宋体" w:cs="Calibri"/>
          <w:sz w:val="24"/>
        </w:rPr>
      </w:pPr>
      <w:r>
        <w:rPr>
          <w:rFonts w:ascii="Calibri" w:hAnsi="Calibri" w:eastAsia="宋体" w:cs="Calibri"/>
          <w:sz w:val="24"/>
        </w:rPr>
        <w:t>1</w:t>
      </w:r>
      <w:r>
        <w:rPr>
          <w:rFonts w:ascii="宋体" w:hAnsi="宋体" w:eastAsia="宋体" w:cs="宋体"/>
          <w:sz w:val="24"/>
        </w:rPr>
        <w:t>．因乙方需要核实甲方个人身份信息或缴存信息，要求甲方提供其他辅助材料，甲方拒绝提供；</w:t>
      </w:r>
    </w:p>
    <w:p w14:paraId="786292F2">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Calibri" w:hAnsi="Calibri" w:eastAsia="宋体" w:cs="Calibri"/>
          <w:sz w:val="24"/>
        </w:rPr>
        <w:t>2</w:t>
      </w:r>
      <w:r>
        <w:rPr>
          <w:rFonts w:ascii="宋体" w:hAnsi="宋体" w:eastAsia="宋体" w:cs="宋体"/>
          <w:sz w:val="24"/>
        </w:rPr>
        <w:t>．甲方持伪造、变造证件办理业务；</w:t>
      </w:r>
    </w:p>
    <w:p w14:paraId="464ED419">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hint="eastAsia" w:ascii="宋体" w:hAnsi="宋体" w:eastAsia="宋体" w:cs="宋体"/>
          <w:sz w:val="24"/>
          <w:lang w:val="en-US" w:eastAsia="zh-CN"/>
        </w:rPr>
      </w:pPr>
      <w:r>
        <w:rPr>
          <w:rFonts w:ascii="Calibri" w:hAnsi="Calibri" w:eastAsia="宋体" w:cs="Calibri"/>
          <w:sz w:val="24"/>
        </w:rPr>
        <w:t>3</w:t>
      </w:r>
      <w:r>
        <w:rPr>
          <w:rFonts w:ascii="宋体" w:hAnsi="宋体" w:eastAsia="宋体" w:cs="宋体"/>
          <w:sz w:val="24"/>
        </w:rPr>
        <w:t>．甲方错误填写个人信息可能影响到本协议履行，经乙方通知仍不更正的包括但不限于手机号为空号或已停机、住所为公共场所等</w:t>
      </w:r>
      <w:r>
        <w:rPr>
          <w:rFonts w:hint="eastAsia" w:ascii="宋体" w:hAnsi="宋体" w:eastAsia="宋体" w:cs="宋体"/>
          <w:sz w:val="24"/>
          <w:lang w:eastAsia="zh-CN"/>
        </w:rPr>
        <w:t>；</w:t>
      </w:r>
    </w:p>
    <w:p w14:paraId="1C581513">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Calibri" w:hAnsi="Calibri" w:eastAsia="宋体" w:cs="Calibri"/>
          <w:sz w:val="24"/>
        </w:rPr>
      </w:pPr>
      <w:r>
        <w:rPr>
          <w:rFonts w:ascii="Calibri" w:hAnsi="Calibri" w:eastAsia="宋体" w:cs="Calibri"/>
          <w:sz w:val="24"/>
        </w:rPr>
        <w:t>4</w:t>
      </w:r>
      <w:r>
        <w:rPr>
          <w:rFonts w:ascii="宋体" w:hAnsi="宋体" w:eastAsia="宋体" w:cs="宋体"/>
          <w:sz w:val="24"/>
        </w:rPr>
        <w:t>．其他违反</w:t>
      </w:r>
      <w:r>
        <w:rPr>
          <w:rFonts w:ascii="宋体" w:hAnsi="宋体" w:eastAsia="宋体" w:cs="宋体"/>
          <w:sz w:val="24"/>
          <w:u w:val="single"/>
        </w:rPr>
        <w:t>《攀枝花市灵活就业人员参加住房公积金制度管理办法（试行）》《攀枝花市灵活就业人员参加住房公积金制度缴存使用实施细则》</w:t>
      </w:r>
      <w:r>
        <w:rPr>
          <w:rFonts w:ascii="宋体" w:hAnsi="宋体" w:eastAsia="宋体" w:cs="宋体"/>
          <w:sz w:val="24"/>
        </w:rPr>
        <w:t>规定的情形。</w:t>
      </w:r>
    </w:p>
    <w:p w14:paraId="5A419E7C">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b/>
          <w:sz w:val="24"/>
        </w:rPr>
      </w:pPr>
      <w:r>
        <w:rPr>
          <w:rFonts w:ascii="宋体" w:hAnsi="宋体" w:eastAsia="宋体" w:cs="宋体"/>
          <w:b/>
          <w:sz w:val="24"/>
        </w:rPr>
        <w:t>（一）住房公积金缴存</w:t>
      </w:r>
    </w:p>
    <w:p w14:paraId="60DBFB94">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b/>
          <w:bCs/>
          <w:color w:val="000000" w:themeColor="text1"/>
          <w:sz w:val="24"/>
        </w:rPr>
      </w:pPr>
      <w:r>
        <w:rPr>
          <w:rFonts w:ascii="宋体" w:hAnsi="宋体" w:eastAsia="宋体" w:cs="宋体"/>
          <w:b/>
          <w:sz w:val="24"/>
        </w:rPr>
        <w:t>第三条</w:t>
      </w:r>
      <w:r>
        <w:rPr>
          <w:rFonts w:ascii="宋体" w:hAnsi="宋体" w:eastAsia="宋体" w:cs="宋体"/>
          <w:sz w:val="24"/>
        </w:rPr>
        <w:t xml:space="preserve"> 甲方同意乙方为其开设个人住房公积金账户（以下简称“个</w:t>
      </w:r>
      <w:r>
        <w:rPr>
          <w:rFonts w:ascii="宋体" w:hAnsi="宋体" w:eastAsia="宋体" w:cs="宋体"/>
          <w:color w:val="000000" w:themeColor="text1"/>
          <w:sz w:val="24"/>
        </w:rPr>
        <w:t>人账户”），并自行选定银行缴存住房公积金,缴存比例为</w:t>
      </w:r>
      <w:r>
        <w:rPr>
          <w:rFonts w:ascii="宋体" w:hAnsi="宋体" w:eastAsia="宋体" w:cs="宋体"/>
          <w:color w:val="000000" w:themeColor="text1"/>
          <w:sz w:val="24"/>
          <w:u w:val="single"/>
        </w:rPr>
        <w:t xml:space="preserve">      %</w:t>
      </w:r>
      <w:r>
        <w:rPr>
          <w:rFonts w:ascii="宋体" w:hAnsi="宋体" w:eastAsia="宋体" w:cs="宋体"/>
          <w:b/>
          <w:color w:val="000000" w:themeColor="text1"/>
          <w:sz w:val="24"/>
        </w:rPr>
        <w:t>（10-24%间</w:t>
      </w:r>
      <w:r>
        <w:rPr>
          <w:rFonts w:ascii="宋体" w:hAnsi="宋体" w:eastAsia="宋体" w:cs="宋体"/>
          <w:b/>
          <w:bCs/>
          <w:color w:val="000000" w:themeColor="text1"/>
          <w:sz w:val="24"/>
        </w:rPr>
        <w:t>偶数）。</w:t>
      </w:r>
    </w:p>
    <w:p w14:paraId="52AD5F41">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注：从开户之月起缴存，不得补缴开户之前的公积金。</w:t>
      </w:r>
    </w:p>
    <w:p w14:paraId="3A2DEDC0">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color w:val="000000" w:themeColor="text1"/>
          <w:sz w:val="24"/>
        </w:rPr>
      </w:pPr>
      <w:r>
        <w:rPr>
          <w:rFonts w:ascii="宋体" w:hAnsi="宋体" w:eastAsia="宋体" w:cs="宋体"/>
          <w:b/>
          <w:bCs/>
          <w:sz w:val="24"/>
        </w:rPr>
        <w:t>第四条</w:t>
      </w:r>
      <w:r>
        <w:rPr>
          <w:rFonts w:ascii="宋体" w:hAnsi="宋体" w:eastAsia="宋体" w:cs="宋体"/>
          <w:sz w:val="24"/>
        </w:rPr>
        <w:t xml:space="preserve"> 甲方选择以</w:t>
      </w:r>
      <w:r>
        <w:rPr>
          <w:rFonts w:ascii="宋体" w:hAnsi="宋体" w:eastAsia="宋体" w:cs="宋体"/>
          <w:color w:val="000000" w:themeColor="text1"/>
          <w:sz w:val="24"/>
        </w:rPr>
        <w:t>下第</w:t>
      </w:r>
      <w:r>
        <w:rPr>
          <w:rFonts w:hint="eastAsia" w:ascii="宋体" w:hAnsi="宋体" w:eastAsia="宋体" w:cs="宋体"/>
          <w:color w:val="000000" w:themeColor="text1"/>
          <w:sz w:val="24"/>
          <w:u w:val="single"/>
          <w:lang w:val="en-US" w:eastAsia="zh-CN"/>
        </w:rPr>
        <w:t xml:space="preserve">       </w:t>
      </w:r>
      <w:r>
        <w:rPr>
          <w:rFonts w:ascii="宋体" w:hAnsi="宋体" w:eastAsia="宋体" w:cs="宋体"/>
          <w:color w:val="000000" w:themeColor="text1"/>
          <w:sz w:val="24"/>
        </w:rPr>
        <w:t>种方案进行缴存。</w:t>
      </w:r>
    </w:p>
    <w:p w14:paraId="3BBC448B">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color w:val="000000" w:themeColor="text1"/>
          <w:sz w:val="24"/>
        </w:rPr>
      </w:pPr>
      <w:r>
        <w:rPr>
          <w:rFonts w:ascii="宋体" w:hAnsi="宋体" w:eastAsia="宋体" w:cs="宋体"/>
          <w:color w:val="000000" w:themeColor="text1"/>
          <w:sz w:val="24"/>
        </w:rPr>
        <w:t>方案一：按月等额缴存，</w:t>
      </w:r>
      <w:r>
        <w:rPr>
          <w:rFonts w:hint="eastAsia" w:ascii="宋体" w:hAnsi="宋体" w:eastAsia="宋体" w:cs="宋体"/>
          <w:color w:val="000000" w:themeColor="text1"/>
          <w:sz w:val="24"/>
        </w:rPr>
        <w:t>月缴存基数</w:t>
      </w:r>
      <w:r>
        <w:rPr>
          <w:rFonts w:hint="eastAsia" w:ascii="宋体" w:hAnsi="宋体" w:eastAsia="宋体" w:cs="宋体"/>
          <w:color w:val="000000" w:themeColor="text1"/>
          <w:sz w:val="24"/>
          <w:u w:val="single"/>
          <w:lang w:val="en-US" w:eastAsia="zh-CN"/>
        </w:rPr>
        <w:t xml:space="preserve">       </w:t>
      </w:r>
      <w:r>
        <w:rPr>
          <w:rFonts w:ascii="宋体" w:hAnsi="宋体" w:eastAsia="宋体" w:cs="宋体"/>
          <w:color w:val="000000" w:themeColor="text1"/>
          <w:sz w:val="24"/>
          <w:u w:val="single"/>
        </w:rPr>
        <w:t>元</w:t>
      </w:r>
      <w:r>
        <w:rPr>
          <w:rFonts w:hint="eastAsia" w:ascii="宋体" w:hAnsi="宋体" w:eastAsia="宋体" w:cs="宋体"/>
          <w:color w:val="000000" w:themeColor="text1"/>
          <w:sz w:val="24"/>
        </w:rPr>
        <w:t>，</w:t>
      </w:r>
      <w:r>
        <w:rPr>
          <w:rFonts w:ascii="宋体" w:hAnsi="宋体" w:eastAsia="宋体" w:cs="宋体"/>
          <w:color w:val="000000" w:themeColor="text1"/>
          <w:sz w:val="24"/>
        </w:rPr>
        <w:t>大写</w:t>
      </w:r>
      <w:r>
        <w:rPr>
          <w:rFonts w:hint="eastAsia" w:ascii="宋体" w:hAnsi="宋体" w:eastAsia="宋体" w:cs="宋体"/>
          <w:color w:val="000000" w:themeColor="text1"/>
          <w:sz w:val="24"/>
          <w:u w:val="single"/>
          <w:lang w:val="en-US" w:eastAsia="zh-CN"/>
        </w:rPr>
        <w:t xml:space="preserve">               </w:t>
      </w:r>
      <w:r>
        <w:rPr>
          <w:rFonts w:ascii="宋体" w:hAnsi="宋体" w:eastAsia="宋体" w:cs="宋体"/>
          <w:color w:val="000000" w:themeColor="text1"/>
          <w:sz w:val="24"/>
          <w:u w:val="single"/>
        </w:rPr>
        <w:t>元</w:t>
      </w:r>
      <w:r>
        <w:rPr>
          <w:rFonts w:hint="eastAsia" w:ascii="宋体" w:hAnsi="宋体" w:eastAsia="宋体" w:cs="宋体"/>
          <w:color w:val="000000" w:themeColor="text1"/>
          <w:sz w:val="24"/>
        </w:rPr>
        <w:t>；</w:t>
      </w:r>
    </w:p>
    <w:p w14:paraId="690167D7">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jc w:val="left"/>
        <w:textAlignment w:val="auto"/>
        <w:rPr>
          <w:rFonts w:ascii="宋体" w:hAnsi="宋体" w:eastAsia="宋体" w:cs="宋体"/>
          <w:sz w:val="24"/>
        </w:rPr>
      </w:pPr>
      <w:r>
        <w:rPr>
          <w:rFonts w:ascii="宋体" w:hAnsi="宋体" w:eastAsia="宋体" w:cs="宋体"/>
          <w:color w:val="000000" w:themeColor="text1"/>
          <w:sz w:val="24"/>
        </w:rPr>
        <w:t>月缴存额为</w:t>
      </w:r>
      <w:r>
        <w:rPr>
          <w:rFonts w:hint="eastAsia" w:ascii="宋体" w:hAnsi="宋体" w:eastAsia="宋体" w:cs="宋体"/>
          <w:i w:val="0"/>
          <w:iCs w:val="0"/>
          <w:color w:val="000000" w:themeColor="text1"/>
          <w:sz w:val="24"/>
          <w:u w:val="single"/>
          <w:lang w:val="en-US" w:eastAsia="zh-CN"/>
        </w:rPr>
        <w:t xml:space="preserve">        </w:t>
      </w:r>
      <w:r>
        <w:rPr>
          <w:rFonts w:ascii="宋体" w:hAnsi="宋体" w:eastAsia="宋体" w:cs="宋体"/>
          <w:i w:val="0"/>
          <w:iCs w:val="0"/>
          <w:color w:val="000000" w:themeColor="text1"/>
          <w:sz w:val="24"/>
          <w:u w:val="single"/>
        </w:rPr>
        <w:t>元</w:t>
      </w:r>
      <w:r>
        <w:rPr>
          <w:rFonts w:ascii="宋体" w:hAnsi="宋体" w:eastAsia="宋体" w:cs="宋体"/>
          <w:color w:val="000000" w:themeColor="text1"/>
          <w:sz w:val="24"/>
        </w:rPr>
        <w:t>（偶数），大写</w:t>
      </w:r>
      <w:r>
        <w:rPr>
          <w:rFonts w:hint="eastAsia" w:ascii="宋体" w:hAnsi="宋体" w:eastAsia="宋体" w:cs="宋体"/>
          <w:color w:val="000000" w:themeColor="text1"/>
          <w:sz w:val="24"/>
          <w:u w:val="single"/>
          <w:lang w:val="en-US" w:eastAsia="zh-CN"/>
        </w:rPr>
        <w:t xml:space="preserve">              </w:t>
      </w:r>
      <w:r>
        <w:rPr>
          <w:rFonts w:ascii="宋体" w:hAnsi="宋体" w:eastAsia="宋体" w:cs="宋体"/>
          <w:color w:val="000000" w:themeColor="text1"/>
          <w:sz w:val="24"/>
          <w:u w:val="single"/>
        </w:rPr>
        <w:t>元</w:t>
      </w:r>
      <w:r>
        <w:rPr>
          <w:rFonts w:ascii="宋体" w:hAnsi="宋体" w:eastAsia="宋体" w:cs="宋体"/>
          <w:color w:val="000000" w:themeColor="text1"/>
          <w:sz w:val="24"/>
        </w:rPr>
        <w:t>。</w:t>
      </w:r>
      <w:r>
        <w:rPr>
          <w:rFonts w:hint="eastAsia" w:ascii="宋体" w:hAnsi="宋体" w:eastAsia="宋体" w:cs="宋体"/>
          <w:sz w:val="24"/>
        </w:rPr>
        <w:t>应当按月足额缴存，未按月足额缴存的，连续缴存时间不连续计算。</w:t>
      </w:r>
    </w:p>
    <w:p w14:paraId="2F9DC79A">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color w:val="000000" w:themeColor="text1"/>
          <w:sz w:val="24"/>
        </w:rPr>
      </w:pPr>
      <w:r>
        <w:rPr>
          <w:rFonts w:ascii="宋体" w:hAnsi="宋体" w:eastAsia="宋体" w:cs="宋体"/>
          <w:color w:val="000000" w:themeColor="text1"/>
          <w:sz w:val="24"/>
        </w:rPr>
        <w:t>方案二：自由缴存，</w:t>
      </w:r>
      <w:r>
        <w:rPr>
          <w:rFonts w:hint="eastAsia" w:ascii="宋体" w:hAnsi="宋体" w:eastAsia="宋体" w:cs="宋体"/>
          <w:color w:val="000000" w:themeColor="text1"/>
          <w:sz w:val="24"/>
        </w:rPr>
        <w:t>月缴存基数</w:t>
      </w:r>
      <w:r>
        <w:rPr>
          <w:rFonts w:hint="eastAsia" w:ascii="宋体" w:hAnsi="宋体" w:eastAsia="宋体" w:cs="宋体"/>
          <w:color w:val="000000" w:themeColor="text1"/>
          <w:sz w:val="24"/>
          <w:u w:val="single"/>
          <w:lang w:val="en-US" w:eastAsia="zh-CN"/>
        </w:rPr>
        <w:t xml:space="preserve">        </w:t>
      </w:r>
      <w:r>
        <w:rPr>
          <w:rFonts w:ascii="宋体" w:hAnsi="宋体" w:eastAsia="宋体" w:cs="宋体"/>
          <w:color w:val="000000" w:themeColor="text1"/>
          <w:sz w:val="24"/>
          <w:u w:val="single"/>
        </w:rPr>
        <w:t>元</w:t>
      </w:r>
      <w:r>
        <w:rPr>
          <w:rFonts w:hint="eastAsia" w:ascii="宋体" w:hAnsi="宋体" w:eastAsia="宋体" w:cs="宋体"/>
          <w:color w:val="000000" w:themeColor="text1"/>
          <w:sz w:val="24"/>
        </w:rPr>
        <w:t>，</w:t>
      </w:r>
      <w:r>
        <w:rPr>
          <w:rFonts w:ascii="宋体" w:hAnsi="宋体" w:eastAsia="宋体" w:cs="宋体"/>
          <w:color w:val="000000" w:themeColor="text1"/>
          <w:sz w:val="24"/>
        </w:rPr>
        <w:t>大写</w:t>
      </w:r>
      <w:r>
        <w:rPr>
          <w:rFonts w:hint="eastAsia" w:ascii="宋体" w:hAnsi="宋体" w:eastAsia="宋体" w:cs="宋体"/>
          <w:color w:val="000000" w:themeColor="text1"/>
          <w:sz w:val="24"/>
          <w:u w:val="single"/>
          <w:lang w:val="en-US" w:eastAsia="zh-CN"/>
        </w:rPr>
        <w:t xml:space="preserve">                </w:t>
      </w:r>
      <w:r>
        <w:rPr>
          <w:rFonts w:ascii="宋体" w:hAnsi="宋体" w:eastAsia="宋体" w:cs="宋体"/>
          <w:color w:val="000000" w:themeColor="text1"/>
          <w:sz w:val="24"/>
          <w:u w:val="single"/>
        </w:rPr>
        <w:t>元</w:t>
      </w:r>
      <w:r>
        <w:rPr>
          <w:rFonts w:hint="eastAsia" w:ascii="宋体" w:hAnsi="宋体" w:eastAsia="宋体" w:cs="宋体"/>
          <w:color w:val="000000" w:themeColor="text1"/>
          <w:sz w:val="24"/>
        </w:rPr>
        <w:t>；</w:t>
      </w:r>
    </w:p>
    <w:p w14:paraId="1ADB2D5B">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color w:val="000000" w:themeColor="text1"/>
          <w:sz w:val="24"/>
        </w:rPr>
      </w:pPr>
      <w:r>
        <w:rPr>
          <w:rFonts w:ascii="宋体" w:hAnsi="宋体" w:eastAsia="宋体" w:cs="宋体"/>
          <w:color w:val="000000" w:themeColor="text1"/>
          <w:sz w:val="24"/>
        </w:rPr>
        <w:t>月缴存额为</w:t>
      </w:r>
      <w:r>
        <w:rPr>
          <w:rFonts w:hint="eastAsia" w:ascii="宋体" w:hAnsi="宋体" w:eastAsia="宋体" w:cs="宋体"/>
          <w:color w:val="000000" w:themeColor="text1"/>
          <w:sz w:val="24"/>
          <w:u w:val="single"/>
          <w:lang w:val="en-US" w:eastAsia="zh-CN"/>
        </w:rPr>
        <w:t xml:space="preserve">        </w:t>
      </w:r>
      <w:r>
        <w:rPr>
          <w:rFonts w:ascii="宋体" w:hAnsi="宋体" w:eastAsia="宋体" w:cs="宋体"/>
          <w:color w:val="000000" w:themeColor="text1"/>
          <w:sz w:val="24"/>
          <w:u w:val="single"/>
        </w:rPr>
        <w:t>元</w:t>
      </w:r>
      <w:r>
        <w:rPr>
          <w:rFonts w:ascii="宋体" w:hAnsi="宋体" w:eastAsia="宋体" w:cs="宋体"/>
          <w:color w:val="000000" w:themeColor="text1"/>
          <w:sz w:val="24"/>
        </w:rPr>
        <w:t>（偶数），大写</w:t>
      </w:r>
      <w:r>
        <w:rPr>
          <w:rFonts w:hint="eastAsia" w:ascii="宋体" w:hAnsi="宋体" w:eastAsia="宋体" w:cs="宋体"/>
          <w:color w:val="000000" w:themeColor="text1"/>
          <w:sz w:val="24"/>
          <w:u w:val="single"/>
          <w:lang w:val="en-US" w:eastAsia="zh-CN"/>
        </w:rPr>
        <w:t xml:space="preserve">               </w:t>
      </w:r>
      <w:r>
        <w:rPr>
          <w:rFonts w:ascii="宋体" w:hAnsi="宋体" w:eastAsia="宋体" w:cs="宋体"/>
          <w:color w:val="000000" w:themeColor="text1"/>
          <w:sz w:val="24"/>
          <w:u w:val="single"/>
        </w:rPr>
        <w:t>元</w:t>
      </w:r>
      <w:r>
        <w:rPr>
          <w:rFonts w:ascii="宋体" w:hAnsi="宋体" w:eastAsia="宋体" w:cs="宋体"/>
          <w:color w:val="000000" w:themeColor="text1"/>
          <w:sz w:val="24"/>
        </w:rPr>
        <w:t>。</w:t>
      </w:r>
      <w:r>
        <w:rPr>
          <w:rFonts w:hint="eastAsia" w:ascii="宋体" w:hAnsi="宋体" w:eastAsia="宋体" w:cs="宋体"/>
          <w:sz w:val="24"/>
        </w:rPr>
        <w:t>可不固定时间足额缴存，缴存时间累计计算。</w:t>
      </w:r>
    </w:p>
    <w:p w14:paraId="0A7DF50C">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color w:val="000000" w:themeColor="text1"/>
          <w:sz w:val="24"/>
        </w:rPr>
      </w:pPr>
      <w:r>
        <w:rPr>
          <w:rFonts w:ascii="宋体" w:hAnsi="宋体" w:eastAsia="宋体" w:cs="宋体"/>
          <w:b/>
          <w:bCs/>
          <w:color w:val="000000" w:themeColor="text1"/>
          <w:sz w:val="24"/>
        </w:rPr>
        <w:t>甲方需在开户后6个月内完成首笔缴存，</w:t>
      </w:r>
      <w:r>
        <w:rPr>
          <w:rFonts w:hint="eastAsia" w:ascii="宋体" w:hAnsi="宋体" w:eastAsia="宋体" w:cs="宋体"/>
          <w:color w:val="000000" w:themeColor="text1"/>
          <w:sz w:val="24"/>
        </w:rPr>
        <w:t>每次缴存额不得低于缴存低限，不得高于年度缴存高限，且年度内累计缴存额不得高于年度缴存高限，</w:t>
      </w:r>
      <w:r>
        <w:rPr>
          <w:rFonts w:ascii="宋体" w:hAnsi="宋体" w:eastAsia="宋体" w:cs="宋体"/>
          <w:color w:val="000000" w:themeColor="text1"/>
          <w:sz w:val="24"/>
        </w:rPr>
        <w:t>每笔缴存资金的存储时间从计入个人账户时开始计算，缴存时间累计计算。</w:t>
      </w:r>
    </w:p>
    <w:p w14:paraId="6199295E">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color w:val="000000" w:themeColor="text1"/>
          <w:sz w:val="24"/>
        </w:rPr>
      </w:pPr>
      <w:r>
        <w:rPr>
          <w:rFonts w:ascii="宋体" w:hAnsi="宋体" w:eastAsia="宋体" w:cs="宋体"/>
          <w:b/>
          <w:color w:val="000000" w:themeColor="text1"/>
          <w:sz w:val="24"/>
        </w:rPr>
        <w:t>第五条</w:t>
      </w:r>
      <w:r>
        <w:rPr>
          <w:rFonts w:ascii="宋体" w:hAnsi="宋体" w:eastAsia="宋体" w:cs="宋体"/>
          <w:color w:val="000000" w:themeColor="text1"/>
          <w:sz w:val="24"/>
        </w:rPr>
        <w:t xml:space="preserve"> 甲方月缴存额应在乙方核定的年度住房公积金缴存基数上下限×缴存比例（10-24%偶数）范围内自主确定。</w:t>
      </w:r>
    </w:p>
    <w:p w14:paraId="1FE4D74E">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b/>
          <w:color w:val="000000" w:themeColor="text1"/>
          <w:sz w:val="24"/>
        </w:rPr>
      </w:pPr>
      <w:r>
        <w:rPr>
          <w:rFonts w:ascii="宋体" w:hAnsi="宋体" w:eastAsia="宋体" w:cs="宋体"/>
          <w:color w:val="000000" w:themeColor="text1"/>
          <w:sz w:val="24"/>
        </w:rPr>
        <w:t>月缴存额=月缴存基数×缴存比例（10-24%）</w:t>
      </w:r>
    </w:p>
    <w:p w14:paraId="7D387411">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color w:val="000000" w:themeColor="text1"/>
          <w:sz w:val="24"/>
        </w:rPr>
      </w:pPr>
      <w:r>
        <w:rPr>
          <w:rFonts w:ascii="宋体" w:hAnsi="宋体" w:eastAsia="宋体" w:cs="宋体"/>
          <w:color w:val="000000" w:themeColor="text1"/>
          <w:sz w:val="24"/>
        </w:rPr>
        <w:t>本协议签订后，甲方可以在每个自然年度内调整一次住房公积金月缴存额和缴存比例</w:t>
      </w:r>
      <w:r>
        <w:rPr>
          <w:rFonts w:hint="eastAsia" w:ascii="宋体" w:hAnsi="宋体" w:eastAsia="宋体" w:cs="宋体"/>
          <w:color w:val="000000" w:themeColor="text1"/>
          <w:sz w:val="24"/>
        </w:rPr>
        <w:t>（开户当年度不做调整）</w:t>
      </w:r>
      <w:r>
        <w:rPr>
          <w:rFonts w:ascii="宋体" w:hAnsi="宋体" w:eastAsia="宋体" w:cs="宋体"/>
          <w:color w:val="000000" w:themeColor="text1"/>
          <w:sz w:val="24"/>
        </w:rPr>
        <w:t>,调整后按新的月缴存额和比例缴存。如甲方的</w:t>
      </w:r>
      <w:r>
        <w:rPr>
          <w:rFonts w:hint="eastAsia" w:ascii="宋体" w:hAnsi="宋体" w:eastAsia="宋体" w:cs="宋体"/>
          <w:color w:val="000000" w:themeColor="text1"/>
          <w:sz w:val="24"/>
        </w:rPr>
        <w:t>月</w:t>
      </w:r>
      <w:r>
        <w:rPr>
          <w:rFonts w:ascii="宋体" w:hAnsi="宋体" w:eastAsia="宋体" w:cs="宋体"/>
          <w:color w:val="000000" w:themeColor="text1"/>
          <w:sz w:val="24"/>
        </w:rPr>
        <w:t>缴存额低于乙方调整后的最低</w:t>
      </w:r>
      <w:r>
        <w:rPr>
          <w:rFonts w:hint="eastAsia" w:ascii="宋体" w:hAnsi="宋体" w:eastAsia="宋体" w:cs="宋体"/>
          <w:color w:val="000000" w:themeColor="text1"/>
          <w:sz w:val="24"/>
        </w:rPr>
        <w:t>月</w:t>
      </w:r>
      <w:bookmarkStart w:id="0" w:name="_GoBack"/>
      <w:bookmarkEnd w:id="0"/>
      <w:r>
        <w:rPr>
          <w:rFonts w:ascii="宋体" w:hAnsi="宋体" w:eastAsia="宋体" w:cs="宋体"/>
          <w:color w:val="000000" w:themeColor="text1"/>
          <w:sz w:val="24"/>
        </w:rPr>
        <w:t>缴存额，则甲方</w:t>
      </w:r>
      <w:r>
        <w:rPr>
          <w:rFonts w:hint="eastAsia" w:ascii="宋体" w:hAnsi="宋体" w:eastAsia="宋体" w:cs="宋体"/>
          <w:color w:val="000000" w:themeColor="text1"/>
          <w:sz w:val="24"/>
        </w:rPr>
        <w:t>月</w:t>
      </w:r>
      <w:r>
        <w:rPr>
          <w:rFonts w:ascii="宋体" w:hAnsi="宋体" w:eastAsia="宋体" w:cs="宋体"/>
          <w:color w:val="000000" w:themeColor="text1"/>
          <w:sz w:val="24"/>
        </w:rPr>
        <w:t>缴存额自动按乙方调整后的最低</w:t>
      </w:r>
      <w:r>
        <w:rPr>
          <w:rFonts w:hint="eastAsia" w:ascii="宋体" w:hAnsi="宋体" w:eastAsia="宋体" w:cs="宋体"/>
          <w:color w:val="000000" w:themeColor="text1"/>
          <w:sz w:val="24"/>
        </w:rPr>
        <w:t>月</w:t>
      </w:r>
      <w:r>
        <w:rPr>
          <w:rFonts w:ascii="宋体" w:hAnsi="宋体" w:eastAsia="宋体" w:cs="宋体"/>
          <w:color w:val="000000" w:themeColor="text1"/>
          <w:sz w:val="24"/>
        </w:rPr>
        <w:t>缴存额执行。</w:t>
      </w:r>
    </w:p>
    <w:p w14:paraId="6A44D5A4">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color w:val="000000" w:themeColor="text1"/>
          <w:sz w:val="24"/>
        </w:rPr>
      </w:pPr>
      <w:r>
        <w:rPr>
          <w:rFonts w:ascii="宋体" w:hAnsi="宋体" w:eastAsia="宋体" w:cs="宋体"/>
          <w:b/>
          <w:color w:val="000000" w:themeColor="text1"/>
          <w:sz w:val="24"/>
        </w:rPr>
        <w:t>第六条</w:t>
      </w:r>
      <w:r>
        <w:rPr>
          <w:rFonts w:ascii="宋体" w:hAnsi="宋体" w:eastAsia="宋体" w:cs="宋体"/>
          <w:color w:val="000000" w:themeColor="text1"/>
          <w:sz w:val="24"/>
        </w:rPr>
        <w:t xml:space="preserve"> 甲方选择按以下</w:t>
      </w:r>
      <w:r>
        <w:rPr>
          <w:rFonts w:ascii="宋体" w:hAnsi="宋体" w:eastAsia="宋体" w:cs="宋体"/>
          <w:color w:val="000000" w:themeColor="text1"/>
          <w:sz w:val="24"/>
          <w:highlight w:val="none"/>
        </w:rPr>
        <w:t>第</w:t>
      </w:r>
      <w:r>
        <w:rPr>
          <w:rFonts w:hint="eastAsia" w:ascii="宋体" w:hAnsi="宋体" w:eastAsia="宋体" w:cs="宋体"/>
          <w:color w:val="000000" w:themeColor="text1"/>
          <w:sz w:val="24"/>
          <w:highlight w:val="none"/>
          <w:u w:val="single"/>
          <w:lang w:val="en-US" w:eastAsia="zh-CN"/>
        </w:rPr>
        <w:t xml:space="preserve">     </w:t>
      </w:r>
      <w:r>
        <w:rPr>
          <w:rFonts w:ascii="宋体" w:hAnsi="宋体" w:eastAsia="宋体" w:cs="宋体"/>
          <w:color w:val="000000" w:themeColor="text1"/>
          <w:sz w:val="24"/>
          <w:highlight w:val="none"/>
        </w:rPr>
        <w:t>种</w:t>
      </w:r>
      <w:r>
        <w:rPr>
          <w:rFonts w:ascii="宋体" w:hAnsi="宋体" w:eastAsia="宋体" w:cs="宋体"/>
          <w:color w:val="000000" w:themeColor="text1"/>
          <w:sz w:val="24"/>
        </w:rPr>
        <w:t>方式缴存住房公积金：</w:t>
      </w:r>
    </w:p>
    <w:p w14:paraId="4E7C1D19">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color w:val="000000" w:themeColor="text1"/>
          <w:sz w:val="24"/>
        </w:rPr>
      </w:pPr>
      <w:r>
        <w:rPr>
          <w:rFonts w:ascii="宋体" w:hAnsi="宋体" w:eastAsia="宋体" w:cs="宋体"/>
          <w:color w:val="000000" w:themeColor="text1"/>
          <w:sz w:val="24"/>
        </w:rPr>
        <w:t>1．银行托收方式</w:t>
      </w:r>
      <w:r>
        <w:rPr>
          <w:rFonts w:hint="eastAsia" w:ascii="宋体" w:hAnsi="宋体" w:eastAsia="宋体" w:cs="宋体"/>
          <w:color w:val="000000" w:themeColor="text1"/>
          <w:sz w:val="24"/>
        </w:rPr>
        <w:t>（按月等额缴存可选择）</w:t>
      </w:r>
    </w:p>
    <w:p w14:paraId="29D95060">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color w:val="000000" w:themeColor="text1"/>
          <w:sz w:val="24"/>
        </w:rPr>
        <w:t>甲方需在托收日前将应缴存的住房公积金足额存入以下指定账户，并授权开户银行自当月起按照乙方的指令从甲方账户中扣款（扣款原则是足额扣款），甲方确认每月托收日为</w:t>
      </w:r>
      <w:r>
        <w:rPr>
          <w:rFonts w:hint="eastAsia" w:ascii="宋体" w:hAnsi="宋体" w:eastAsia="宋体" w:cs="宋体"/>
          <w:color w:val="000000" w:themeColor="text1"/>
          <w:sz w:val="24"/>
          <w:u w:val="single"/>
        </w:rPr>
        <w:t>21日</w:t>
      </w:r>
      <w:r>
        <w:rPr>
          <w:rFonts w:hint="eastAsia" w:ascii="宋体" w:hAnsi="宋体" w:eastAsia="宋体" w:cs="宋体"/>
          <w:color w:val="000000" w:themeColor="text1"/>
          <w:sz w:val="24"/>
        </w:rPr>
        <w:t>，</w:t>
      </w:r>
      <w:r>
        <w:rPr>
          <w:rFonts w:ascii="宋体" w:hAnsi="宋体" w:eastAsia="宋体" w:cs="宋体"/>
          <w:color w:val="000000" w:themeColor="text1"/>
          <w:sz w:val="24"/>
        </w:rPr>
        <w:t>托收日扣款失败的，甲方应在当月内及时将应缴的住房公积金足额存入托收账户，开户</w:t>
      </w:r>
      <w:r>
        <w:rPr>
          <w:rFonts w:ascii="宋体" w:hAnsi="宋体" w:eastAsia="宋体" w:cs="宋体"/>
          <w:sz w:val="24"/>
        </w:rPr>
        <w:t>银行从托收日后每日发起扣款至当月末。</w:t>
      </w:r>
    </w:p>
    <w:p w14:paraId="4FFCFE2B">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甲方指定账户如下：</w:t>
      </w:r>
    </w:p>
    <w:p w14:paraId="3C6FCB7E">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 xml:space="preserve">账户户名：                       </w:t>
      </w:r>
    </w:p>
    <w:p w14:paraId="7ED3E673">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 xml:space="preserve">开户账号：                       </w:t>
      </w:r>
    </w:p>
    <w:p w14:paraId="0D098FEE">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 xml:space="preserve">开户行：                        </w:t>
      </w:r>
    </w:p>
    <w:p w14:paraId="2304745D">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color w:val="000000" w:themeColor="text1"/>
          <w:sz w:val="24"/>
        </w:rPr>
      </w:pPr>
      <w:r>
        <w:rPr>
          <w:rFonts w:ascii="宋体" w:hAnsi="宋体" w:eastAsia="宋体" w:cs="宋体"/>
          <w:sz w:val="24"/>
        </w:rPr>
        <w:t>2．自行缴存方</w:t>
      </w:r>
      <w:r>
        <w:rPr>
          <w:rFonts w:ascii="宋体" w:hAnsi="宋体" w:eastAsia="宋体" w:cs="宋体"/>
          <w:color w:val="000000" w:themeColor="text1"/>
          <w:sz w:val="24"/>
        </w:rPr>
        <w:t>式</w:t>
      </w:r>
      <w:r>
        <w:rPr>
          <w:rFonts w:hint="eastAsia" w:ascii="宋体" w:hAnsi="宋体" w:eastAsia="宋体" w:cs="宋体"/>
          <w:color w:val="000000" w:themeColor="text1"/>
          <w:sz w:val="24"/>
        </w:rPr>
        <w:t>（按月等额缴存、自由缴存可选择）</w:t>
      </w:r>
    </w:p>
    <w:p w14:paraId="1D2091EE">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color w:val="000000" w:themeColor="text1"/>
          <w:sz w:val="24"/>
        </w:rPr>
      </w:pPr>
      <w:r>
        <w:rPr>
          <w:rFonts w:ascii="宋体" w:hAnsi="宋体" w:eastAsia="宋体" w:cs="宋体"/>
          <w:color w:val="000000" w:themeColor="text1"/>
          <w:sz w:val="24"/>
        </w:rPr>
        <w:t>自行通过线上服务渠道、业务网点等方式办理。</w:t>
      </w:r>
    </w:p>
    <w:p w14:paraId="32BB690C">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hint="eastAsia" w:ascii="宋体" w:hAnsi="宋体" w:eastAsia="宋体" w:cs="宋体"/>
          <w:b/>
          <w:bCs/>
          <w:color w:val="000000" w:themeColor="text1"/>
          <w:sz w:val="24"/>
        </w:rPr>
        <w:t>第七条</w:t>
      </w:r>
      <w:r>
        <w:rPr>
          <w:rFonts w:hint="eastAsia" w:ascii="宋体" w:hAnsi="宋体" w:eastAsia="宋体" w:cs="宋体"/>
          <w:b/>
          <w:bCs/>
          <w:color w:val="000000" w:themeColor="text1"/>
          <w:sz w:val="24"/>
          <w:lang w:val="en-US" w:eastAsia="zh-CN"/>
        </w:rPr>
        <w:t xml:space="preserve"> </w:t>
      </w:r>
      <w:r>
        <w:rPr>
          <w:rFonts w:ascii="宋体" w:hAnsi="宋体" w:eastAsia="宋体" w:cs="宋体"/>
          <w:color w:val="000000" w:themeColor="text1"/>
          <w:sz w:val="24"/>
        </w:rPr>
        <w:t>因甲方指定银行账户被冻结、账户余额小于当期应扣款额等原因导致缴存失败的，</w:t>
      </w:r>
      <w:r>
        <w:rPr>
          <w:rFonts w:hint="eastAsia" w:ascii="宋体" w:hAnsi="宋体" w:eastAsia="宋体" w:cs="宋体"/>
          <w:color w:val="000000" w:themeColor="text1"/>
          <w:sz w:val="24"/>
        </w:rPr>
        <w:t>甲方应及时保障账户正常、存入足够金额，系统将在</w:t>
      </w:r>
      <w:r>
        <w:rPr>
          <w:rFonts w:ascii="宋体" w:hAnsi="宋体" w:eastAsia="宋体" w:cs="宋体"/>
          <w:color w:val="000000" w:themeColor="text1"/>
          <w:sz w:val="24"/>
        </w:rPr>
        <w:t>托收日后每日发起扣款至当月末</w:t>
      </w:r>
      <w:r>
        <w:rPr>
          <w:rFonts w:hint="eastAsia" w:ascii="宋体" w:hAnsi="宋体" w:eastAsia="宋体" w:cs="宋体"/>
          <w:color w:val="000000" w:themeColor="text1"/>
          <w:sz w:val="24"/>
        </w:rPr>
        <w:t>；</w:t>
      </w:r>
      <w:r>
        <w:rPr>
          <w:rFonts w:hint="eastAsia" w:ascii="宋体" w:hAnsi="宋体" w:eastAsia="宋体" w:cs="宋体"/>
          <w:sz w:val="24"/>
        </w:rPr>
        <w:t>若扣款仍失败的，连续缴存时间自重新缴存之时起重新计算。</w:t>
      </w:r>
    </w:p>
    <w:p w14:paraId="45C4FCD7">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color w:val="000000" w:themeColor="text1"/>
          <w:sz w:val="24"/>
          <w:u w:val="single"/>
        </w:rPr>
        <w:t>甲方</w:t>
      </w:r>
      <w:r>
        <w:rPr>
          <w:rFonts w:hint="eastAsia" w:ascii="宋体" w:hAnsi="宋体" w:eastAsia="宋体" w:cs="宋体"/>
          <w:b/>
          <w:color w:val="000000" w:themeColor="text1"/>
          <w:sz w:val="24"/>
          <w:u w:val="single"/>
        </w:rPr>
        <w:t>不得跨年度缴存或补缴，</w:t>
      </w:r>
      <w:r>
        <w:rPr>
          <w:rFonts w:ascii="宋体" w:hAnsi="宋体" w:eastAsia="宋体" w:cs="宋体"/>
          <w:b/>
          <w:sz w:val="24"/>
          <w:u w:val="single"/>
        </w:rPr>
        <w:t>未在本年度内缴存或补缴的，乙方无义务接受甲方的补缴。甲方后续按本协议继续缴存住房公积金的，其连续缴存时间自重新缴存之时起重新计算。</w:t>
      </w:r>
    </w:p>
    <w:p w14:paraId="5545D3C6">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第八条</w:t>
      </w:r>
      <w:r>
        <w:rPr>
          <w:rFonts w:ascii="宋体" w:hAnsi="宋体" w:eastAsia="宋体" w:cs="宋体"/>
          <w:sz w:val="24"/>
        </w:rPr>
        <w:t xml:space="preserve"> 如因甲方原因导致未按时、足额缴存，由此对甲方权益产生不利影响的，由甲方自行承担相应的法律后果。</w:t>
      </w:r>
    </w:p>
    <w:p w14:paraId="72D19D4A">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甲方连续</w:t>
      </w:r>
      <w:r>
        <w:rPr>
          <w:rFonts w:ascii="宋体" w:hAnsi="宋体" w:eastAsia="宋体" w:cs="宋体"/>
          <w:sz w:val="24"/>
          <w:u w:val="single"/>
        </w:rPr>
        <w:t>12个月</w:t>
      </w:r>
      <w:r>
        <w:rPr>
          <w:rFonts w:ascii="宋体" w:hAnsi="宋体" w:eastAsia="宋体" w:cs="宋体"/>
          <w:sz w:val="24"/>
        </w:rPr>
        <w:t>未足额缴存住房公积金的，乙方有权封存甲方个人账户，甲方对此明确知晓并同意。</w:t>
      </w:r>
    </w:p>
    <w:p w14:paraId="71A0BE7F">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未经另一方当事人书面同意或协议事先约定，任何一方当事人不得转让本协议约定的权利或义务。</w:t>
      </w:r>
    </w:p>
    <w:p w14:paraId="4D82FEB8">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第九条</w:t>
      </w:r>
      <w:r>
        <w:rPr>
          <w:rFonts w:ascii="宋体" w:hAnsi="宋体" w:eastAsia="宋体" w:cs="宋体"/>
          <w:sz w:val="24"/>
        </w:rPr>
        <w:t xml:space="preserve"> 甲方缴存的住房公积金自存入个人账户之日起按照国家规定的住房公积金账户存款利率计息。</w:t>
      </w:r>
    </w:p>
    <w:p w14:paraId="2D3CF114">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第十条</w:t>
      </w:r>
      <w:r>
        <w:rPr>
          <w:rFonts w:ascii="宋体" w:hAnsi="宋体" w:eastAsia="宋体" w:cs="宋体"/>
          <w:sz w:val="24"/>
        </w:rPr>
        <w:t xml:space="preserve"> 甲方按照税收政策向有权机关申请在个人应纳税所得额中扣除住房公积金，乙方可根据甲方申请给予协助。乙方在此提示，甲方缴存的住房公积金能否在个人应纳税所得额中扣除，应由有权机关根据国家有关规定予以决定。</w:t>
      </w:r>
    </w:p>
    <w:p w14:paraId="5F04B703">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第十一条</w:t>
      </w:r>
      <w:r>
        <w:rPr>
          <w:rFonts w:ascii="宋体" w:hAnsi="宋体" w:eastAsia="宋体" w:cs="宋体"/>
          <w:sz w:val="24"/>
        </w:rPr>
        <w:t xml:space="preserve"> 因甲方原因不能正常缴存住房公积金的，甲方可以向乙方申请封存个人账户。</w:t>
      </w:r>
    </w:p>
    <w:p w14:paraId="0D8A7B81">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依本协议第八条约定个人账户封存的，甲方可以向乙方申请启封个人账户并继续缴存，甲方连续缴存时间按本协议第七条认定，累计缴存时间自启封并正常缴存之日起继续计算。</w:t>
      </w:r>
    </w:p>
    <w:p w14:paraId="44C29042">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 xml:space="preserve">第十二条 </w:t>
      </w:r>
      <w:r>
        <w:rPr>
          <w:rFonts w:ascii="宋体" w:hAnsi="宋体" w:eastAsia="宋体" w:cs="宋体"/>
          <w:sz w:val="24"/>
        </w:rPr>
        <w:t>甲方由</w:t>
      </w:r>
      <w:r>
        <w:rPr>
          <w:rFonts w:ascii="宋体" w:hAnsi="宋体" w:eastAsia="宋体" w:cs="宋体"/>
          <w:color w:val="000000" w:themeColor="text1"/>
          <w:sz w:val="24"/>
        </w:rPr>
        <w:t>个人缴存转变为单位代扣代缴方式缴</w:t>
      </w:r>
      <w:r>
        <w:rPr>
          <w:rFonts w:ascii="宋体" w:hAnsi="宋体" w:eastAsia="宋体" w:cs="宋体"/>
          <w:sz w:val="24"/>
        </w:rPr>
        <w:t>存或个人情况发生变更后不再符合本协议第一条所约定的缴存资格的应当在30天内通知乙方并向乙方申请封存个人账户。甲方可以按照本协议约定申请提取个人账户内余额，或者申请办理个人账户转移。甲方未履行本条约定的通知或申请封存个人账户义务的，乙方有权封存甲方个人账户或者采取其他合理、必要的措施。</w:t>
      </w:r>
    </w:p>
    <w:p w14:paraId="0FF71637">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b/>
          <w:sz w:val="24"/>
        </w:rPr>
      </w:pPr>
      <w:r>
        <w:rPr>
          <w:rFonts w:ascii="宋体" w:hAnsi="宋体" w:eastAsia="宋体" w:cs="宋体"/>
          <w:b/>
          <w:sz w:val="24"/>
        </w:rPr>
        <w:t>（二）住房公积金提取</w:t>
      </w:r>
    </w:p>
    <w:p w14:paraId="0BB72D90">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第十三条</w:t>
      </w:r>
      <w:r>
        <w:rPr>
          <w:rFonts w:ascii="宋体" w:hAnsi="宋体" w:eastAsia="宋体" w:cs="宋体"/>
          <w:sz w:val="24"/>
        </w:rPr>
        <w:t xml:space="preserve"> 甲方购买自住住房、建造翻建大修自住住房、偿还住房贷款本息、租房、出境定居、无未结清住房公积金贷款且个人账户已封存、死亡等（提取条件），可以向乙方申请提取其个人账户内依本协议缴存的部分或者全部余额。</w:t>
      </w:r>
    </w:p>
    <w:p w14:paraId="4C46B54D">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甲方在异地以单位代扣代缴方式缴存的住房公积金，通过转移接续方式转入本协议下的个人账户的，不适用前款约定；甲方应按照《住房公积金管理条例》等相关规定提取在异地以单位代扣代缴方式缴存的住房公积金。</w:t>
      </w:r>
    </w:p>
    <w:p w14:paraId="0EC08F31">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甲方有未结清住房公积金贷款的，只能办理偿还住房公积金贷款本息提取，其中纳入贷款额度计算的公积金账户余额在该笔公积金贷款未结清</w:t>
      </w:r>
      <w:r>
        <w:rPr>
          <w:rFonts w:hint="eastAsia" w:ascii="宋体" w:hAnsi="宋体" w:eastAsia="宋体" w:cs="宋体"/>
          <w:sz w:val="24"/>
        </w:rPr>
        <w:t>时</w:t>
      </w:r>
      <w:r>
        <w:rPr>
          <w:rFonts w:ascii="宋体" w:hAnsi="宋体" w:eastAsia="宋体" w:cs="宋体"/>
          <w:sz w:val="24"/>
        </w:rPr>
        <w:t>不能提取。</w:t>
      </w:r>
    </w:p>
    <w:p w14:paraId="00D73246">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b/>
          <w:sz w:val="24"/>
        </w:rPr>
      </w:pPr>
      <w:r>
        <w:rPr>
          <w:rFonts w:ascii="宋体" w:hAnsi="宋体" w:eastAsia="宋体" w:cs="宋体"/>
          <w:b/>
          <w:sz w:val="24"/>
        </w:rPr>
        <w:t>若甲方逾期未偿还住房公积金贷款，乙方有权扣除甲方个人</w:t>
      </w:r>
      <w:r>
        <w:rPr>
          <w:rFonts w:hint="eastAsia" w:ascii="宋体" w:hAnsi="宋体" w:eastAsia="宋体" w:cs="宋体"/>
          <w:b/>
          <w:sz w:val="24"/>
        </w:rPr>
        <w:t>住房公积金</w:t>
      </w:r>
      <w:r>
        <w:rPr>
          <w:rFonts w:ascii="宋体" w:hAnsi="宋体" w:eastAsia="宋体" w:cs="宋体"/>
          <w:b/>
          <w:sz w:val="24"/>
        </w:rPr>
        <w:t>账户余额用于偿还住房公积金贷款。</w:t>
      </w:r>
    </w:p>
    <w:p w14:paraId="7602DFF4">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b/>
          <w:color w:val="000000" w:themeColor="text1"/>
          <w:sz w:val="24"/>
        </w:rPr>
      </w:pPr>
      <w:r>
        <w:rPr>
          <w:rFonts w:ascii="宋体" w:hAnsi="宋体" w:eastAsia="宋体" w:cs="宋体"/>
          <w:b/>
          <w:sz w:val="24"/>
        </w:rPr>
        <w:t>（三）住房公积金贷款</w:t>
      </w:r>
    </w:p>
    <w:p w14:paraId="5AA66C5C">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color w:val="000000" w:themeColor="text1"/>
          <w:sz w:val="24"/>
        </w:rPr>
      </w:pPr>
      <w:r>
        <w:rPr>
          <w:rFonts w:ascii="宋体" w:hAnsi="宋体" w:eastAsia="宋体" w:cs="宋体"/>
          <w:b/>
          <w:color w:val="000000" w:themeColor="text1"/>
          <w:sz w:val="24"/>
        </w:rPr>
        <w:t>第十四条</w:t>
      </w:r>
      <w:r>
        <w:rPr>
          <w:rFonts w:ascii="宋体" w:hAnsi="宋体" w:eastAsia="宋体" w:cs="宋体"/>
          <w:color w:val="000000" w:themeColor="text1"/>
          <w:sz w:val="24"/>
        </w:rPr>
        <w:t xml:space="preserve"> 符合下列全部条件时，甲方可作为申请人与</w:t>
      </w:r>
      <w:r>
        <w:rPr>
          <w:rFonts w:hint="eastAsia" w:ascii="宋体" w:hAnsi="宋体" w:eastAsia="宋体" w:cs="宋体"/>
          <w:color w:val="000000" w:themeColor="text1"/>
          <w:sz w:val="24"/>
        </w:rPr>
        <w:t>配偶（作为共同申请人）</w:t>
      </w:r>
      <w:r>
        <w:rPr>
          <w:rFonts w:ascii="宋体" w:hAnsi="宋体" w:eastAsia="宋体" w:cs="宋体"/>
          <w:color w:val="000000" w:themeColor="text1"/>
          <w:sz w:val="24"/>
        </w:rPr>
        <w:t>共同申请住房公积金贷款：</w:t>
      </w:r>
    </w:p>
    <w:p w14:paraId="4D49C8DB">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color w:val="000000" w:themeColor="text1"/>
          <w:sz w:val="24"/>
        </w:rPr>
      </w:pPr>
      <w:r>
        <w:rPr>
          <w:rFonts w:ascii="宋体" w:hAnsi="宋体" w:eastAsia="宋体" w:cs="宋体"/>
          <w:color w:val="000000" w:themeColor="text1"/>
          <w:sz w:val="24"/>
        </w:rPr>
        <w:t>1．甲方及其配偶均</w:t>
      </w:r>
      <w:r>
        <w:rPr>
          <w:rFonts w:hint="eastAsia" w:ascii="宋体" w:hAnsi="宋体" w:eastAsia="宋体" w:cs="宋体"/>
          <w:sz w:val="24"/>
        </w:rPr>
        <w:t>没有</w:t>
      </w:r>
      <w:r>
        <w:rPr>
          <w:rFonts w:ascii="宋体" w:hAnsi="宋体" w:eastAsia="宋体" w:cs="宋体"/>
          <w:color w:val="000000" w:themeColor="text1"/>
          <w:sz w:val="24"/>
        </w:rPr>
        <w:t>未结清的住房公积金贷款；</w:t>
      </w:r>
    </w:p>
    <w:p w14:paraId="10AD1E3C">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color w:val="000000" w:themeColor="text1"/>
          <w:sz w:val="24"/>
        </w:rPr>
      </w:pPr>
      <w:r>
        <w:rPr>
          <w:rFonts w:ascii="宋体" w:hAnsi="宋体" w:eastAsia="宋体" w:cs="宋体"/>
          <w:color w:val="000000" w:themeColor="text1"/>
          <w:sz w:val="24"/>
        </w:rPr>
        <w:t>2．甲方与</w:t>
      </w:r>
      <w:r>
        <w:rPr>
          <w:rFonts w:hint="eastAsia" w:ascii="宋体" w:hAnsi="宋体" w:eastAsia="宋体" w:cs="宋体"/>
          <w:color w:val="000000" w:themeColor="text1"/>
          <w:sz w:val="24"/>
        </w:rPr>
        <w:t>配偶</w:t>
      </w:r>
      <w:r>
        <w:rPr>
          <w:rFonts w:ascii="宋体" w:hAnsi="宋体" w:eastAsia="宋体" w:cs="宋体"/>
          <w:color w:val="000000" w:themeColor="text1"/>
          <w:sz w:val="24"/>
        </w:rPr>
        <w:t>均信用状况良好，有偿还本息的能力；</w:t>
      </w:r>
    </w:p>
    <w:p w14:paraId="228BD1E3">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hint="eastAsia" w:ascii="宋体" w:hAnsi="宋体" w:eastAsia="宋体" w:cs="宋体"/>
          <w:color w:val="000000" w:themeColor="text1"/>
          <w:sz w:val="24"/>
          <w:lang w:eastAsia="zh-CN"/>
        </w:rPr>
      </w:pPr>
      <w:r>
        <w:rPr>
          <w:rFonts w:ascii="宋体" w:hAnsi="宋体" w:eastAsia="宋体" w:cs="宋体"/>
          <w:color w:val="000000" w:themeColor="text1"/>
          <w:sz w:val="24"/>
        </w:rPr>
        <w:t>3．已支付符合相关政策要求的购房首付款</w:t>
      </w:r>
      <w:r>
        <w:rPr>
          <w:rFonts w:hint="eastAsia" w:ascii="宋体" w:hAnsi="宋体" w:eastAsia="宋体" w:cs="宋体"/>
          <w:color w:val="000000" w:themeColor="text1"/>
          <w:sz w:val="24"/>
          <w:lang w:eastAsia="zh-CN"/>
        </w:rPr>
        <w:t>；</w:t>
      </w:r>
    </w:p>
    <w:p w14:paraId="4E94A8EF">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color w:val="000000" w:themeColor="text1"/>
          <w:sz w:val="24"/>
        </w:rPr>
      </w:pPr>
      <w:r>
        <w:rPr>
          <w:rFonts w:ascii="宋体" w:hAnsi="宋体" w:eastAsia="宋体" w:cs="宋体"/>
          <w:color w:val="000000" w:themeColor="text1"/>
          <w:sz w:val="24"/>
        </w:rPr>
        <w:t>4．可提供符合要求的担保；</w:t>
      </w:r>
    </w:p>
    <w:p w14:paraId="0DCB735A">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color w:val="000000" w:themeColor="text1"/>
          <w:sz w:val="24"/>
        </w:rPr>
        <w:t>5.符合申请贷款时的</w:t>
      </w:r>
      <w:r>
        <w:rPr>
          <w:rFonts w:ascii="宋体" w:hAnsi="宋体" w:eastAsia="宋体" w:cs="宋体"/>
          <w:color w:val="000000" w:themeColor="text1"/>
          <w:sz w:val="24"/>
          <w:u w:val="single"/>
        </w:rPr>
        <w:t>《攀枝花市灵活就业人员参加住房公积金制度管理办法（试行）》《攀枝花市灵活就业</w:t>
      </w:r>
      <w:r>
        <w:rPr>
          <w:rFonts w:ascii="宋体" w:hAnsi="宋体" w:eastAsia="宋体" w:cs="宋体"/>
          <w:sz w:val="24"/>
          <w:u w:val="single"/>
        </w:rPr>
        <w:t>人员参加住房公积金制度缴存使用实施细则》相关规定的</w:t>
      </w:r>
      <w:r>
        <w:rPr>
          <w:rFonts w:ascii="宋体" w:hAnsi="宋体" w:eastAsia="宋体" w:cs="宋体"/>
          <w:sz w:val="24"/>
        </w:rPr>
        <w:t>；</w:t>
      </w:r>
    </w:p>
    <w:p w14:paraId="0F231164">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6．法律、法规、规章和有关政策规定的其他条件。</w:t>
      </w:r>
    </w:p>
    <w:p w14:paraId="1F3B1317">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第十五条</w:t>
      </w:r>
      <w:r>
        <w:rPr>
          <w:rFonts w:ascii="宋体" w:hAnsi="宋体" w:eastAsia="宋体" w:cs="宋体"/>
          <w:sz w:val="24"/>
        </w:rPr>
        <w:t xml:space="preserve"> 甲方知晓并同意在申请住房公积金贷款时，按照乙方公布的材料清单提供申请材料，经乙方审查符合政策后，可获得住房公积金贷款；乙方有权拒绝甲方不符合相关政策的贷款申请。</w:t>
      </w:r>
    </w:p>
    <w:p w14:paraId="11C56E15">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甲方申请住房公积金贷款，可贷额度根据其缴存情况、收入情况、还贷能力、信用状况、贷款期限、抵押物价值等因素综合计算，具体依照申请贷款时的</w:t>
      </w:r>
      <w:r>
        <w:rPr>
          <w:rFonts w:ascii="宋体" w:hAnsi="宋体" w:eastAsia="宋体" w:cs="宋体"/>
          <w:sz w:val="24"/>
          <w:u w:val="single"/>
        </w:rPr>
        <w:t>《攀枝花市灵活就业人员参加住房公积金制度管理办法（试行）》《攀枝花市灵活就业人员参加住房公积金制度缴存使用实施细则》</w:t>
      </w:r>
      <w:r>
        <w:rPr>
          <w:rFonts w:ascii="宋体" w:hAnsi="宋体" w:eastAsia="宋体" w:cs="宋体"/>
          <w:sz w:val="24"/>
        </w:rPr>
        <w:t>相关规定确定。</w:t>
      </w:r>
    </w:p>
    <w:p w14:paraId="07AEAB66">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甲方同意并授权乙方通过第三方征信机构评估甲方的信用状况，并按照法律法规相关规定，根据信用评估结果限制甲方的贷款金额或拒绝甲方的贷款申请。</w:t>
      </w:r>
    </w:p>
    <w:p w14:paraId="438C065C">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 xml:space="preserve">第十六条 </w:t>
      </w:r>
      <w:r>
        <w:rPr>
          <w:rFonts w:ascii="宋体" w:hAnsi="宋体" w:eastAsia="宋体" w:cs="宋体"/>
          <w:sz w:val="24"/>
        </w:rPr>
        <w:t>甲方的住房公积金贷款申请获得批准后，双方应另行订立借款协议，甲方应提供相应担保。</w:t>
      </w:r>
    </w:p>
    <w:p w14:paraId="53ECF4D7">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如本协议约定与前款借款协议约定不一致的，以借款协议约定为准。</w:t>
      </w:r>
    </w:p>
    <w:p w14:paraId="37F94D6A">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b/>
          <w:sz w:val="24"/>
        </w:rPr>
      </w:pPr>
      <w:r>
        <w:rPr>
          <w:rFonts w:ascii="宋体" w:hAnsi="宋体" w:eastAsia="宋体" w:cs="宋体"/>
          <w:b/>
          <w:sz w:val="24"/>
        </w:rPr>
        <w:t>三、协议变更与终止</w:t>
      </w:r>
    </w:p>
    <w:p w14:paraId="61D7C116">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b/>
          <w:sz w:val="24"/>
        </w:rPr>
      </w:pPr>
      <w:r>
        <w:rPr>
          <w:rFonts w:ascii="宋体" w:hAnsi="宋体" w:eastAsia="宋体" w:cs="宋体"/>
          <w:b/>
          <w:sz w:val="24"/>
        </w:rPr>
        <w:t>（一）协议变更</w:t>
      </w:r>
    </w:p>
    <w:p w14:paraId="4320594F">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第十七条</w:t>
      </w:r>
      <w:r>
        <w:rPr>
          <w:rFonts w:ascii="宋体" w:hAnsi="宋体" w:eastAsia="宋体" w:cs="宋体"/>
          <w:sz w:val="24"/>
        </w:rPr>
        <w:t xml:space="preserve"> 甲方可以向乙方申请变更缴存基数、缴存比例、缴存金额，变更后的缴存金额应符合本协议第五条的限定条件。</w:t>
      </w:r>
    </w:p>
    <w:p w14:paraId="27C45634">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甲方可以向乙方提出变更申请，经乙方审查通过后，双方以书面形式变更本协议条款。</w:t>
      </w:r>
    </w:p>
    <w:p w14:paraId="0DD8F4BA">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jc w:val="left"/>
        <w:textAlignment w:val="auto"/>
        <w:rPr>
          <w:rFonts w:ascii="宋体" w:hAnsi="宋体" w:eastAsia="宋体" w:cs="宋体"/>
          <w:sz w:val="24"/>
        </w:rPr>
      </w:pPr>
      <w:r>
        <w:rPr>
          <w:rFonts w:ascii="宋体" w:hAnsi="宋体" w:eastAsia="宋体" w:cs="宋体"/>
          <w:b/>
          <w:sz w:val="24"/>
        </w:rPr>
        <w:t>第十八条</w:t>
      </w:r>
      <w:r>
        <w:rPr>
          <w:rFonts w:ascii="宋体" w:hAnsi="宋体" w:eastAsia="宋体" w:cs="宋体"/>
          <w:sz w:val="24"/>
        </w:rPr>
        <w:t xml:space="preserve"> 甲方的姓名、证件类型、证件号码、住所、手机号等信息发生变化的应在信息发生变化之日起7日内通过线上服务渠道或业务网点申请变更。其中甲方的姓名、身份证号码、手机号信息发生变化的，甲方应在信息发生变化之日起7日内到乙方业务网点申请变更。</w:t>
      </w:r>
    </w:p>
    <w:p w14:paraId="5035F667">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甲方未履行前款义务，由此产生的不利后果由甲方自行承担。</w:t>
      </w:r>
    </w:p>
    <w:p w14:paraId="76A40E8E">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第十九条</w:t>
      </w:r>
      <w:r>
        <w:rPr>
          <w:rFonts w:ascii="宋体" w:hAnsi="宋体" w:eastAsia="宋体" w:cs="宋体"/>
          <w:sz w:val="24"/>
        </w:rPr>
        <w:t xml:space="preserve"> 双方当事人协商一致，可通过书面形式变更本协议条款。</w:t>
      </w:r>
    </w:p>
    <w:p w14:paraId="1899520B">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b/>
          <w:sz w:val="24"/>
          <w:u w:val="single"/>
        </w:rPr>
      </w:pPr>
      <w:r>
        <w:rPr>
          <w:rFonts w:ascii="宋体" w:hAnsi="宋体" w:eastAsia="宋体" w:cs="宋体"/>
          <w:sz w:val="24"/>
        </w:rPr>
        <w:t>因相关法律、法规、规章及其他政策变更，影响本协议履行的，乙方有权变更本协议对应的条款。乙方变更本协议条款的，应当以合理方式通知甲方。如甲方不同意变更，可在通知送达后7日内以书面方式通知乙方解除合同，到期甲方没有表示的，视为同意按照变更后的协议执行。</w:t>
      </w:r>
      <w:r>
        <w:rPr>
          <w:rFonts w:ascii="宋体" w:hAnsi="宋体" w:eastAsia="宋体" w:cs="宋体"/>
          <w:b/>
          <w:sz w:val="24"/>
          <w:u w:val="single"/>
        </w:rPr>
        <w:t>甲方对此明确知晓并同意。</w:t>
      </w:r>
    </w:p>
    <w:p w14:paraId="036B4863">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b/>
          <w:sz w:val="24"/>
        </w:rPr>
      </w:pPr>
      <w:r>
        <w:rPr>
          <w:rFonts w:ascii="宋体" w:hAnsi="宋体" w:eastAsia="宋体" w:cs="宋体"/>
          <w:b/>
          <w:sz w:val="24"/>
        </w:rPr>
        <w:t>（二）协议终止</w:t>
      </w:r>
    </w:p>
    <w:p w14:paraId="355890C6">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 xml:space="preserve">第二十条 </w:t>
      </w:r>
      <w:r>
        <w:rPr>
          <w:rFonts w:ascii="宋体" w:hAnsi="宋体" w:eastAsia="宋体" w:cs="宋体"/>
          <w:sz w:val="24"/>
        </w:rPr>
        <w:t>双方协商一致，可解除本协议。</w:t>
      </w:r>
    </w:p>
    <w:p w14:paraId="15CDA1D1">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第二十一条</w:t>
      </w:r>
      <w:r>
        <w:rPr>
          <w:rFonts w:ascii="宋体" w:hAnsi="宋体" w:eastAsia="宋体" w:cs="宋体"/>
          <w:sz w:val="24"/>
        </w:rPr>
        <w:t xml:space="preserve"> 满足下列情形之一的，本协议自动终止，双方互不承担违约责任：</w:t>
      </w:r>
    </w:p>
    <w:p w14:paraId="630B77F8">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1．甲方由个人缴存转变为单位代扣代缴方式缴存；</w:t>
      </w:r>
    </w:p>
    <w:p w14:paraId="0BE82F95">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2．甲方通过异地转移接续方式转出；</w:t>
      </w:r>
    </w:p>
    <w:p w14:paraId="7A566EE8">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3．相关法律、法规、规章或者其他政策变更致使本协议目的无法实现；</w:t>
      </w:r>
    </w:p>
    <w:p w14:paraId="30D6FA7C">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4．其他不可归责于当事人的原因致使本协议目的无法实现；</w:t>
      </w:r>
    </w:p>
    <w:p w14:paraId="1F2504FB">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5．甲方个人账户已注销。</w:t>
      </w:r>
    </w:p>
    <w:p w14:paraId="0BBBF49A">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b/>
          <w:sz w:val="24"/>
          <w:u w:val="single"/>
        </w:rPr>
      </w:pPr>
      <w:r>
        <w:rPr>
          <w:rFonts w:ascii="宋体" w:hAnsi="宋体" w:eastAsia="宋体" w:cs="宋体"/>
          <w:b/>
          <w:sz w:val="24"/>
        </w:rPr>
        <w:t>第二十二条</w:t>
      </w:r>
      <w:r>
        <w:rPr>
          <w:rFonts w:hint="eastAsia" w:ascii="宋体" w:hAnsi="宋体" w:eastAsia="宋体" w:cs="宋体"/>
          <w:b/>
          <w:sz w:val="24"/>
          <w:lang w:val="en-US" w:eastAsia="zh-CN"/>
        </w:rPr>
        <w:t xml:space="preserve"> </w:t>
      </w:r>
      <w:r>
        <w:rPr>
          <w:rFonts w:ascii="宋体" w:hAnsi="宋体" w:eastAsia="宋体" w:cs="宋体"/>
          <w:b/>
          <w:sz w:val="24"/>
          <w:u w:val="single"/>
        </w:rPr>
        <w:t>自开立个人账户之日起，甲方应在6个月内完成首笔住房公积金缴存，未在约定时间内完成首笔缴存且账户余额为零的，乙方有权解除本协议，并注销甲方的个人账户。</w:t>
      </w:r>
    </w:p>
    <w:p w14:paraId="170A5CE2">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乙方依前款注销甲方个人账户的，应当以短信、电话等方式通知甲方。甲方对此明确知晓并同意。</w:t>
      </w:r>
    </w:p>
    <w:p w14:paraId="24A9D348">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第二十三条</w:t>
      </w:r>
      <w:r>
        <w:rPr>
          <w:rFonts w:ascii="宋体" w:hAnsi="宋体" w:eastAsia="宋体" w:cs="宋体"/>
          <w:sz w:val="24"/>
        </w:rPr>
        <w:t xml:space="preserve"> 除当事人另有约定外，甲方在本协议解除或终止后，未办理个人账户销户的，不影响甲方继续提取个人账户内部分或者全部余额，但甲方不再享有依据本协议向乙方申请住房公积金贷款的权利。</w:t>
      </w:r>
    </w:p>
    <w:p w14:paraId="0AC6B885">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b/>
          <w:sz w:val="24"/>
        </w:rPr>
      </w:pPr>
      <w:r>
        <w:rPr>
          <w:rFonts w:ascii="宋体" w:hAnsi="宋体" w:eastAsia="宋体" w:cs="宋体"/>
          <w:b/>
          <w:sz w:val="24"/>
        </w:rPr>
        <w:t>四、法律责任</w:t>
      </w:r>
    </w:p>
    <w:p w14:paraId="6C55E60F">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第二十四条</w:t>
      </w:r>
      <w:r>
        <w:rPr>
          <w:rFonts w:ascii="宋体" w:hAnsi="宋体" w:eastAsia="宋体" w:cs="宋体"/>
          <w:sz w:val="24"/>
        </w:rPr>
        <w:t xml:space="preserve"> 本协议签订后，双方当事人应当遵循诚实信用原则，全面履行各自义务。任何一方不履行本协议义务或者履行义务不符合约定的，应承担继续履行、采取补救措施、赔偿损失等法律责任</w:t>
      </w:r>
      <w:r>
        <w:rPr>
          <w:rFonts w:hint="eastAsia" w:ascii="宋体" w:hAnsi="宋体" w:eastAsia="宋体" w:cs="宋体"/>
          <w:sz w:val="24"/>
        </w:rPr>
        <w:t>（包括但不限于守约方主张权利产生的律师费、评估费、鉴定费、诉讼保全提供担保的费用等）</w:t>
      </w:r>
      <w:r>
        <w:rPr>
          <w:rFonts w:ascii="宋体" w:hAnsi="宋体" w:eastAsia="宋体" w:cs="宋体"/>
          <w:sz w:val="24"/>
        </w:rPr>
        <w:t>。</w:t>
      </w:r>
    </w:p>
    <w:p w14:paraId="072FB770">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第二十五条</w:t>
      </w:r>
      <w:r>
        <w:rPr>
          <w:rFonts w:ascii="宋体" w:hAnsi="宋体" w:eastAsia="宋体" w:cs="宋体"/>
          <w:sz w:val="24"/>
        </w:rPr>
        <w:t xml:space="preserve"> 甲方不实承诺个人情况或提供虚假证明材料骗取缴存资格的，乙方有权采取解除本协议、注销甲方个人账户等措施。甲方已申请住房公积金贷款的，乙方有权撤销该笔住房公积金贷款；甲方已取得住房公积金贷款的，乙方有权提前收回全部贷款本息。</w:t>
      </w:r>
      <w:r>
        <w:rPr>
          <w:rFonts w:ascii="宋体" w:hAnsi="宋体" w:eastAsia="宋体" w:cs="宋体"/>
          <w:b/>
          <w:sz w:val="24"/>
          <w:u w:val="single"/>
        </w:rPr>
        <w:t>甲方对此明确知晓并同意。</w:t>
      </w:r>
    </w:p>
    <w:p w14:paraId="1BEA0E94">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甲方在个人情况发生变更后不再符合本协议第一条所约定的缴存资格时未通知乙方的，乙方可就甲方个人情况发生变更后的缴存、贷款等事项享有前款所约定的权利。</w:t>
      </w:r>
    </w:p>
    <w:p w14:paraId="76C3B218">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 xml:space="preserve">第二十六条 </w:t>
      </w:r>
      <w:r>
        <w:rPr>
          <w:rFonts w:ascii="宋体" w:hAnsi="宋体" w:eastAsia="宋体" w:cs="宋体"/>
          <w:sz w:val="24"/>
        </w:rPr>
        <w:t>任何一方因不可抗力不能履行合同的，不承担违约责任。</w:t>
      </w:r>
    </w:p>
    <w:p w14:paraId="7510D5DB">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因甲方撤回个人信息处理的同意等原因致使乙方无法适当履行本协议义务的，乙方不承担违约责任。</w:t>
      </w:r>
    </w:p>
    <w:p w14:paraId="7636A4EA">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五、通知与送达</w:t>
      </w:r>
    </w:p>
    <w:p w14:paraId="7AB3D7E4">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第二十七条</w:t>
      </w:r>
      <w:r>
        <w:rPr>
          <w:rFonts w:ascii="宋体" w:hAnsi="宋体" w:eastAsia="宋体" w:cs="宋体"/>
          <w:sz w:val="24"/>
        </w:rPr>
        <w:t xml:space="preserve"> 甲乙双方可根据实际情况选择以下两种方式送达本协议所涉通知：</w:t>
      </w:r>
    </w:p>
    <w:p w14:paraId="0EA2DC16">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1．邮寄方式</w:t>
      </w:r>
    </w:p>
    <w:p w14:paraId="3513F35D">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本协议中甲方住所是甲方确认的有效送达地址。该送达地址为包括但不限于通知、协议履行文书、诉讼文书、仲裁文书等资料的有效送达地址。乙方向该地址以特快专递或挂号方式邮寄出前述文书或通知的，即视为送达：邮件签收日期或者邮件退回日期为送达日期。因甲方拒收或因其他原因被退回时，拒收或者被退回之日视为送达之日，乙方无需另行通知。</w:t>
      </w:r>
    </w:p>
    <w:p w14:paraId="41C3E9A1">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2．电子方式</w:t>
      </w:r>
    </w:p>
    <w:p w14:paraId="422AC465">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乙方采取短信、电子邮件等电子方式送达本协议所涉通知。乙方短信、电子邮件到达本协议中甲方手机号或邮箱号的，即视为送达。因甲方原因导致短信、电子邮件无法到达甲方手机号或邮箱号的，短信、电子邮件发出之日视为送达之日，乙方无需另行通知。</w:t>
      </w:r>
    </w:p>
    <w:p w14:paraId="3410BF97">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b/>
          <w:sz w:val="24"/>
        </w:rPr>
      </w:pPr>
      <w:r>
        <w:rPr>
          <w:rFonts w:ascii="宋体" w:hAnsi="宋体" w:eastAsia="宋体" w:cs="宋体"/>
          <w:b/>
          <w:sz w:val="24"/>
        </w:rPr>
        <w:t>六、争议解决</w:t>
      </w:r>
    </w:p>
    <w:p w14:paraId="30EC43A6">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第二十八条</w:t>
      </w:r>
      <w:r>
        <w:rPr>
          <w:rFonts w:ascii="宋体" w:hAnsi="宋体" w:eastAsia="宋体" w:cs="宋体"/>
          <w:sz w:val="24"/>
        </w:rPr>
        <w:t xml:space="preserve"> 双方就本协议内容或其执行事项发生争议的，由双方协商解决；协商不成的，可依法向乙方所在地人民法院提起诉讼。</w:t>
      </w:r>
    </w:p>
    <w:p w14:paraId="6B9F1F41">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b/>
          <w:sz w:val="24"/>
        </w:rPr>
      </w:pPr>
      <w:r>
        <w:rPr>
          <w:rFonts w:ascii="宋体" w:hAnsi="宋体" w:eastAsia="宋体" w:cs="宋体"/>
          <w:b/>
          <w:sz w:val="24"/>
        </w:rPr>
        <w:t>七、其他约定</w:t>
      </w:r>
    </w:p>
    <w:p w14:paraId="347A3DA2">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b/>
          <w:sz w:val="24"/>
        </w:rPr>
      </w:pPr>
      <w:r>
        <w:rPr>
          <w:rFonts w:ascii="宋体" w:hAnsi="宋体" w:eastAsia="宋体" w:cs="宋体"/>
          <w:b/>
          <w:sz w:val="24"/>
        </w:rPr>
        <w:t>第二十九条</w:t>
      </w:r>
      <w:r>
        <w:rPr>
          <w:rFonts w:hint="eastAsia" w:ascii="宋体" w:hAnsi="宋体" w:eastAsia="宋体" w:cs="宋体"/>
          <w:b/>
          <w:sz w:val="24"/>
          <w:lang w:val="en-US" w:eastAsia="zh-CN"/>
        </w:rPr>
        <w:t xml:space="preserve"> </w:t>
      </w:r>
      <w:r>
        <w:rPr>
          <w:rFonts w:ascii="宋体" w:hAnsi="宋体" w:eastAsia="宋体" w:cs="宋体"/>
          <w:b/>
          <w:sz w:val="24"/>
        </w:rPr>
        <w:t>乙方已提请甲方注意对本协议条款作全面、准确的理解，甲方确认并承诺已充分阅读本协议各项条款及</w:t>
      </w:r>
      <w:r>
        <w:rPr>
          <w:rFonts w:ascii="宋体" w:hAnsi="宋体" w:eastAsia="宋体" w:cs="宋体"/>
          <w:b/>
          <w:sz w:val="24"/>
          <w:u w:val="single"/>
        </w:rPr>
        <w:t>《攀枝花市灵活就业人员参加住房公积金制度管理办法（试行）》《攀枝花市灵活就业人员参加住房公积金制度缴存使用实施细则》</w:t>
      </w:r>
      <w:r>
        <w:rPr>
          <w:rFonts w:ascii="宋体" w:hAnsi="宋体" w:eastAsia="宋体" w:cs="宋体"/>
          <w:b/>
          <w:sz w:val="24"/>
        </w:rPr>
        <w:t>，熟悉本协议及相关文件之全部内容，完全理解双方的权利义务，清楚可能产生的法律后果。</w:t>
      </w:r>
    </w:p>
    <w:p w14:paraId="16AC3E17">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 xml:space="preserve">第三十条 </w:t>
      </w:r>
      <w:r>
        <w:rPr>
          <w:rFonts w:ascii="宋体" w:hAnsi="宋体" w:eastAsia="宋体" w:cs="宋体"/>
          <w:sz w:val="24"/>
        </w:rPr>
        <w:t>本协议项下送达条款、争议解决条款为独立条款，不受本协议整体或其他条款效力的影响。</w:t>
      </w:r>
    </w:p>
    <w:p w14:paraId="58E0DA38">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第三十一条</w:t>
      </w:r>
      <w:r>
        <w:rPr>
          <w:rFonts w:ascii="宋体" w:hAnsi="宋体" w:eastAsia="宋体" w:cs="宋体"/>
          <w:sz w:val="24"/>
        </w:rPr>
        <w:t xml:space="preserve"> 本协议有</w:t>
      </w:r>
      <w:r>
        <w:rPr>
          <w:rFonts w:ascii="宋体" w:hAnsi="宋体" w:eastAsia="宋体" w:cs="宋体"/>
          <w:sz w:val="24"/>
          <w:u w:val="single"/>
        </w:rPr>
        <w:t xml:space="preserve"> 一 </w:t>
      </w:r>
      <w:r>
        <w:rPr>
          <w:rFonts w:ascii="宋体" w:hAnsi="宋体" w:eastAsia="宋体" w:cs="宋体"/>
          <w:sz w:val="24"/>
        </w:rPr>
        <w:t>份附件，协议附件是本协议的当然组成部分，与本协议具有同等法律效力。附件与正文约定不一致的，以正文为准。</w:t>
      </w:r>
    </w:p>
    <w:p w14:paraId="358228D6">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 xml:space="preserve">第三十二条 </w:t>
      </w:r>
      <w:r>
        <w:rPr>
          <w:rFonts w:ascii="宋体" w:hAnsi="宋体" w:eastAsia="宋体" w:cs="宋体"/>
          <w:sz w:val="24"/>
        </w:rPr>
        <w:t>本协议未尽事宜，</w:t>
      </w:r>
      <w:r>
        <w:rPr>
          <w:rFonts w:ascii="宋体" w:hAnsi="宋体" w:eastAsia="宋体" w:cs="宋体"/>
          <w:sz w:val="24"/>
          <w:u w:val="single"/>
        </w:rPr>
        <w:t>《攀枝花市灵活就业人员参加住房公积金制度管理办法（试行）》《攀枝花市灵活就业人员参加住房公积金制度缴存使用实施细则》</w:t>
      </w:r>
      <w:r>
        <w:rPr>
          <w:rFonts w:ascii="宋体" w:hAnsi="宋体" w:eastAsia="宋体" w:cs="宋体"/>
          <w:sz w:val="24"/>
        </w:rPr>
        <w:t>已有规定的，按照相关规定执行。</w:t>
      </w:r>
    </w:p>
    <w:p w14:paraId="78A60FCB">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第三十三条</w:t>
      </w:r>
      <w:r>
        <w:rPr>
          <w:rFonts w:ascii="宋体" w:hAnsi="宋体" w:eastAsia="宋体" w:cs="宋体"/>
          <w:sz w:val="24"/>
        </w:rPr>
        <w:t xml:space="preserve"> 本协议自甲方签字、乙方盖章之日起生效；如签字盖章的时间不在同一天的，以较晚的时间作为合同生效时间。</w:t>
      </w:r>
    </w:p>
    <w:p w14:paraId="23F7EFDA">
      <w:pPr>
        <w:keepNext w:val="0"/>
        <w:keepLines w:val="0"/>
        <w:pageBreakBefore w:val="0"/>
        <w:widowControl w:val="0"/>
        <w:kinsoku/>
        <w:wordWrap/>
        <w:overflowPunct/>
        <w:topLinePunct w:val="0"/>
        <w:autoSpaceDE/>
        <w:autoSpaceDN/>
        <w:bidi w:val="0"/>
        <w:adjustRightInd w:val="0"/>
        <w:snapToGrid w:val="0"/>
        <w:spacing w:line="276" w:lineRule="auto"/>
        <w:ind w:right="0" w:firstLine="480" w:firstLineChars="200"/>
        <w:textAlignment w:val="auto"/>
        <w:rPr>
          <w:rFonts w:ascii="宋体" w:hAnsi="宋体" w:eastAsia="宋体" w:cs="宋体"/>
          <w:sz w:val="24"/>
        </w:rPr>
      </w:pPr>
      <w:r>
        <w:rPr>
          <w:rFonts w:ascii="宋体" w:hAnsi="宋体" w:eastAsia="宋体" w:cs="宋体"/>
          <w:sz w:val="24"/>
        </w:rPr>
        <w:t>前款所称签字盖章包括电子签名和电子印章。</w:t>
      </w:r>
    </w:p>
    <w:p w14:paraId="3ABA0A70">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 xml:space="preserve">第三十四条 </w:t>
      </w:r>
      <w:r>
        <w:rPr>
          <w:rFonts w:ascii="宋体" w:hAnsi="宋体" w:eastAsia="宋体" w:cs="宋体"/>
          <w:sz w:val="24"/>
        </w:rPr>
        <w:t>甲方通过电子签名签署本协议的，视为同意并授权乙方向第三方电子认证服务机构（CA机构）申报数字证书，该数字证书代表甲方身份，且认可电子签名与手写签名具有同等法律效力，并同意承担因此产生的责任和义务。</w:t>
      </w:r>
    </w:p>
    <w:p w14:paraId="1F464D92">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第三十五条</w:t>
      </w:r>
      <w:r>
        <w:rPr>
          <w:rFonts w:ascii="宋体" w:hAnsi="宋体" w:eastAsia="宋体" w:cs="宋体"/>
          <w:sz w:val="24"/>
        </w:rPr>
        <w:t xml:space="preserve"> 本协议一式两份，双方各持一份，每份具有同等法律效力。</w:t>
      </w:r>
    </w:p>
    <w:p w14:paraId="384E3CA5">
      <w:pPr>
        <w:keepNext w:val="0"/>
        <w:keepLines w:val="0"/>
        <w:pageBreakBefore w:val="0"/>
        <w:widowControl w:val="0"/>
        <w:kinsoku/>
        <w:wordWrap/>
        <w:overflowPunct/>
        <w:topLinePunct w:val="0"/>
        <w:autoSpaceDE/>
        <w:autoSpaceDN/>
        <w:bidi w:val="0"/>
        <w:adjustRightInd w:val="0"/>
        <w:snapToGrid w:val="0"/>
        <w:spacing w:line="276" w:lineRule="auto"/>
        <w:ind w:right="0" w:firstLine="482" w:firstLineChars="200"/>
        <w:textAlignment w:val="auto"/>
        <w:rPr>
          <w:rFonts w:ascii="宋体" w:hAnsi="宋体" w:eastAsia="宋体" w:cs="宋体"/>
          <w:sz w:val="24"/>
        </w:rPr>
      </w:pPr>
      <w:r>
        <w:rPr>
          <w:rFonts w:ascii="宋体" w:hAnsi="宋体" w:eastAsia="宋体" w:cs="宋体"/>
          <w:b/>
          <w:sz w:val="24"/>
        </w:rPr>
        <w:t>第三十六条</w:t>
      </w:r>
      <w:r>
        <w:rPr>
          <w:rFonts w:ascii="宋体" w:hAnsi="宋体" w:eastAsia="宋体" w:cs="宋体"/>
          <w:sz w:val="24"/>
        </w:rPr>
        <w:t xml:space="preserve"> 本协议条款约定不明确或理解有歧义的，甲、乙双方应当按照诚实信用原则和现行政策以及公积金管理的行业习惯，结合有关条款、行为的性质和目的，确定争议条款的具体含义。</w:t>
      </w:r>
    </w:p>
    <w:p w14:paraId="60D9D1BD">
      <w:pPr>
        <w:keepNext w:val="0"/>
        <w:keepLines w:val="0"/>
        <w:pageBreakBefore w:val="0"/>
        <w:widowControl w:val="0"/>
        <w:kinsoku/>
        <w:wordWrap/>
        <w:overflowPunct/>
        <w:topLinePunct w:val="0"/>
        <w:autoSpaceDE/>
        <w:autoSpaceDN/>
        <w:bidi w:val="0"/>
        <w:adjustRightInd w:val="0"/>
        <w:spacing w:line="276" w:lineRule="auto"/>
        <w:textAlignment w:val="auto"/>
        <w:rPr>
          <w:rFonts w:ascii="Calibri" w:hAnsi="Calibri" w:eastAsia="宋体" w:cs="Calibri"/>
          <w:sz w:val="24"/>
        </w:rPr>
      </w:pPr>
    </w:p>
    <w:p w14:paraId="4134E71C">
      <w:pPr>
        <w:keepNext w:val="0"/>
        <w:keepLines w:val="0"/>
        <w:pageBreakBefore w:val="0"/>
        <w:widowControl w:val="0"/>
        <w:kinsoku/>
        <w:wordWrap/>
        <w:overflowPunct/>
        <w:topLinePunct w:val="0"/>
        <w:autoSpaceDE/>
        <w:autoSpaceDN/>
        <w:bidi w:val="0"/>
        <w:adjustRightInd w:val="0"/>
        <w:spacing w:line="276" w:lineRule="auto"/>
        <w:ind w:firstLine="540"/>
        <w:textAlignment w:val="auto"/>
        <w:rPr>
          <w:rFonts w:ascii="宋体" w:hAnsi="宋体" w:eastAsia="宋体" w:cs="宋体"/>
          <w:sz w:val="24"/>
        </w:rPr>
      </w:pPr>
      <w:r>
        <w:rPr>
          <w:rFonts w:ascii="宋体" w:hAnsi="宋体" w:eastAsia="宋体" w:cs="宋体"/>
          <w:sz w:val="24"/>
        </w:rPr>
        <w:t xml:space="preserve"> 甲方（签字）：                      乙方（盖章）：</w:t>
      </w:r>
    </w:p>
    <w:p w14:paraId="13E7B270">
      <w:pPr>
        <w:keepNext w:val="0"/>
        <w:keepLines w:val="0"/>
        <w:pageBreakBefore w:val="0"/>
        <w:widowControl w:val="0"/>
        <w:kinsoku/>
        <w:wordWrap/>
        <w:overflowPunct/>
        <w:topLinePunct w:val="0"/>
        <w:autoSpaceDE/>
        <w:autoSpaceDN/>
        <w:bidi w:val="0"/>
        <w:adjustRightInd w:val="0"/>
        <w:spacing w:line="276" w:lineRule="auto"/>
        <w:ind w:firstLine="540"/>
        <w:textAlignment w:val="auto"/>
        <w:rPr>
          <w:rFonts w:ascii="宋体" w:hAnsi="宋体" w:eastAsia="宋体" w:cs="宋体"/>
          <w:sz w:val="24"/>
        </w:rPr>
      </w:pPr>
    </w:p>
    <w:p w14:paraId="2B67333B">
      <w:pPr>
        <w:keepNext w:val="0"/>
        <w:keepLines w:val="0"/>
        <w:pageBreakBefore w:val="0"/>
        <w:widowControl w:val="0"/>
        <w:kinsoku/>
        <w:wordWrap/>
        <w:overflowPunct/>
        <w:topLinePunct w:val="0"/>
        <w:autoSpaceDE/>
        <w:autoSpaceDN/>
        <w:bidi w:val="0"/>
        <w:adjustRightInd w:val="0"/>
        <w:spacing w:line="276" w:lineRule="auto"/>
        <w:ind w:firstLine="540"/>
        <w:textAlignment w:val="auto"/>
        <w:rPr>
          <w:rFonts w:ascii="宋体" w:hAnsi="宋体" w:eastAsia="宋体" w:cs="宋体"/>
          <w:sz w:val="24"/>
        </w:rPr>
      </w:pPr>
    </w:p>
    <w:p w14:paraId="02542A68">
      <w:pPr>
        <w:keepNext w:val="0"/>
        <w:keepLines w:val="0"/>
        <w:pageBreakBefore w:val="0"/>
        <w:widowControl w:val="0"/>
        <w:kinsoku/>
        <w:wordWrap/>
        <w:overflowPunct/>
        <w:topLinePunct w:val="0"/>
        <w:autoSpaceDE/>
        <w:autoSpaceDN/>
        <w:bidi w:val="0"/>
        <w:adjustRightInd w:val="0"/>
        <w:spacing w:line="276" w:lineRule="auto"/>
        <w:ind w:firstLine="540"/>
        <w:textAlignment w:val="auto"/>
        <w:rPr>
          <w:rFonts w:ascii="宋体" w:hAnsi="宋体" w:eastAsia="宋体" w:cs="宋体"/>
          <w:sz w:val="24"/>
        </w:rPr>
      </w:pPr>
      <w:r>
        <w:rPr>
          <w:rFonts w:ascii="宋体" w:hAnsi="宋体" w:eastAsia="宋体" w:cs="宋体"/>
          <w:sz w:val="24"/>
        </w:rPr>
        <w:t xml:space="preserve">      日期：                             日期：</w:t>
      </w:r>
    </w:p>
    <w:p w14:paraId="0FB3FDB3">
      <w:pPr>
        <w:keepNext w:val="0"/>
        <w:keepLines w:val="0"/>
        <w:pageBreakBefore w:val="0"/>
        <w:widowControl w:val="0"/>
        <w:kinsoku/>
        <w:wordWrap/>
        <w:overflowPunct/>
        <w:topLinePunct w:val="0"/>
        <w:autoSpaceDE/>
        <w:autoSpaceDN/>
        <w:bidi w:val="0"/>
        <w:adjustRightInd w:val="0"/>
        <w:spacing w:line="276" w:lineRule="auto"/>
        <w:ind w:firstLine="540"/>
        <w:textAlignment w:val="auto"/>
        <w:rPr>
          <w:rFonts w:ascii="Calibri" w:hAnsi="Calibri" w:eastAsia="宋体" w:cs="Calibri"/>
          <w:sz w:val="24"/>
        </w:rPr>
        <w:sectPr>
          <w:pgSz w:w="11906" w:h="16838"/>
          <w:pgMar w:top="1440" w:right="1800" w:bottom="1440" w:left="1800" w:header="720" w:footer="720" w:gutter="0"/>
          <w:cols w:space="720" w:num="1"/>
          <w:docGrid w:type="lines" w:linePitch="312" w:charSpace="0"/>
        </w:sectPr>
      </w:pPr>
    </w:p>
    <w:p w14:paraId="30D1378C">
      <w:pPr>
        <w:keepNext w:val="0"/>
        <w:keepLines w:val="0"/>
        <w:pageBreakBefore w:val="0"/>
        <w:widowControl w:val="0"/>
        <w:kinsoku/>
        <w:wordWrap/>
        <w:overflowPunct/>
        <w:topLinePunct w:val="0"/>
        <w:autoSpaceDE/>
        <w:autoSpaceDN/>
        <w:bidi w:val="0"/>
        <w:adjustRightInd/>
        <w:snapToGrid/>
        <w:spacing w:before="20" w:line="293" w:lineRule="auto"/>
        <w:jc w:val="left"/>
        <w:textAlignment w:val="auto"/>
        <w:rPr>
          <w:rFonts w:ascii="宋体" w:hAnsi="宋体" w:eastAsia="宋体" w:cs="宋体"/>
          <w:sz w:val="24"/>
        </w:rPr>
      </w:pPr>
      <w:r>
        <w:rPr>
          <w:rFonts w:ascii="宋体" w:hAnsi="宋体" w:eastAsia="宋体" w:cs="宋体"/>
          <w:sz w:val="24"/>
        </w:rPr>
        <w:t>附件</w:t>
      </w:r>
    </w:p>
    <w:p w14:paraId="3FC3E9D3">
      <w:pPr>
        <w:keepNext w:val="0"/>
        <w:keepLines w:val="0"/>
        <w:pageBreakBefore w:val="0"/>
        <w:widowControl w:val="0"/>
        <w:kinsoku/>
        <w:wordWrap/>
        <w:overflowPunct/>
        <w:topLinePunct w:val="0"/>
        <w:autoSpaceDE/>
        <w:autoSpaceDN/>
        <w:bidi w:val="0"/>
        <w:adjustRightInd/>
        <w:snapToGrid/>
        <w:spacing w:before="20" w:line="293" w:lineRule="auto"/>
        <w:jc w:val="center"/>
        <w:textAlignment w:val="auto"/>
        <w:rPr>
          <w:rFonts w:ascii="Calibri" w:hAnsi="Calibri" w:eastAsia="宋体" w:cs="Calibri"/>
          <w:sz w:val="24"/>
        </w:rPr>
      </w:pPr>
      <w:r>
        <w:rPr>
          <w:rFonts w:ascii="宋体" w:hAnsi="宋体" w:eastAsia="宋体" w:cs="宋体"/>
          <w:b/>
          <w:sz w:val="24"/>
        </w:rPr>
        <w:t>个人信息处理告知与授权</w:t>
      </w:r>
    </w:p>
    <w:p w14:paraId="5E8561E7">
      <w:pPr>
        <w:keepNext w:val="0"/>
        <w:keepLines w:val="0"/>
        <w:pageBreakBefore w:val="0"/>
        <w:widowControl w:val="0"/>
        <w:kinsoku/>
        <w:wordWrap/>
        <w:overflowPunct/>
        <w:topLinePunct w:val="0"/>
        <w:autoSpaceDE/>
        <w:autoSpaceDN/>
        <w:bidi w:val="0"/>
        <w:adjustRightInd/>
        <w:snapToGrid/>
        <w:spacing w:line="293" w:lineRule="auto"/>
        <w:textAlignment w:val="auto"/>
        <w:rPr>
          <w:rFonts w:ascii="宋体" w:hAnsi="宋体" w:eastAsia="宋体" w:cs="宋体"/>
          <w:sz w:val="24"/>
        </w:rPr>
      </w:pPr>
    </w:p>
    <w:p w14:paraId="64B0FB96">
      <w:pPr>
        <w:keepNext w:val="0"/>
        <w:keepLines w:val="0"/>
        <w:pageBreakBefore w:val="0"/>
        <w:widowControl w:val="0"/>
        <w:kinsoku/>
        <w:wordWrap/>
        <w:overflowPunct/>
        <w:topLinePunct w:val="0"/>
        <w:autoSpaceDE/>
        <w:autoSpaceDN/>
        <w:bidi w:val="0"/>
        <w:adjustRightInd/>
        <w:snapToGrid/>
        <w:spacing w:line="293" w:lineRule="auto"/>
        <w:ind w:right="80" w:firstLine="500"/>
        <w:textAlignment w:val="auto"/>
        <w:rPr>
          <w:rFonts w:ascii="Calibri" w:hAnsi="Calibri" w:eastAsia="宋体" w:cs="Calibri"/>
          <w:sz w:val="24"/>
        </w:rPr>
      </w:pPr>
      <w:r>
        <w:rPr>
          <w:rFonts w:ascii="Calibri" w:hAnsi="Calibri" w:eastAsia="宋体" w:cs="Calibri"/>
          <w:sz w:val="24"/>
        </w:rPr>
        <w:t>1</w:t>
      </w:r>
      <w:r>
        <w:rPr>
          <w:rFonts w:ascii="宋体" w:hAnsi="宋体" w:eastAsia="宋体" w:cs="宋体"/>
          <w:sz w:val="24"/>
        </w:rPr>
        <w:t>．根据有关法律、法规、规章或者国家有关规定，公安、住房和城乡建设、人民银行等部门和不动产登记等机构有权依法查询、核实甲方的个人信息。甲方</w:t>
      </w:r>
      <w:r>
        <w:rPr>
          <w:rFonts w:ascii="宋体" w:hAnsi="宋体" w:eastAsia="宋体" w:cs="宋体"/>
          <w:b/>
          <w:sz w:val="24"/>
        </w:rPr>
        <w:t>授权乙方向包括但不限于公安、住房城乡建设、人民银行等部门和不动产登记等机构依法查询、核实甲方相关信息，用于办理甲方的住房公积金业务以及组织住房公积金内外部审计、业务分析统计、监管报送、征信报送、司法协助、合规检查等。</w:t>
      </w:r>
    </w:p>
    <w:p w14:paraId="21E3ECCE">
      <w:pPr>
        <w:keepNext w:val="0"/>
        <w:keepLines w:val="0"/>
        <w:pageBreakBefore w:val="0"/>
        <w:widowControl w:val="0"/>
        <w:kinsoku/>
        <w:wordWrap/>
        <w:overflowPunct/>
        <w:topLinePunct w:val="0"/>
        <w:autoSpaceDE/>
        <w:autoSpaceDN/>
        <w:bidi w:val="0"/>
        <w:adjustRightInd/>
        <w:snapToGrid/>
        <w:spacing w:before="16" w:line="293" w:lineRule="auto"/>
        <w:ind w:firstLine="500"/>
        <w:textAlignment w:val="auto"/>
        <w:rPr>
          <w:rFonts w:ascii="Calibri" w:hAnsi="Calibri" w:eastAsia="宋体" w:cs="Calibri"/>
          <w:sz w:val="24"/>
        </w:rPr>
      </w:pPr>
      <w:r>
        <w:rPr>
          <w:rFonts w:ascii="宋体" w:hAnsi="宋体" w:eastAsia="宋体" w:cs="宋体"/>
          <w:sz w:val="24"/>
        </w:rPr>
        <w:t>甲方授权乙方处理的个人信息包括：</w:t>
      </w:r>
    </w:p>
    <w:p w14:paraId="6DA98AE6">
      <w:pPr>
        <w:keepNext w:val="0"/>
        <w:keepLines w:val="0"/>
        <w:pageBreakBefore w:val="0"/>
        <w:widowControl w:val="0"/>
        <w:kinsoku/>
        <w:wordWrap/>
        <w:overflowPunct/>
        <w:topLinePunct w:val="0"/>
        <w:autoSpaceDE/>
        <w:autoSpaceDN/>
        <w:bidi w:val="0"/>
        <w:adjustRightInd/>
        <w:snapToGrid/>
        <w:spacing w:line="293" w:lineRule="auto"/>
        <w:ind w:left="20" w:right="120" w:firstLine="480"/>
        <w:textAlignment w:val="auto"/>
        <w:rPr>
          <w:rFonts w:ascii="Calibri" w:hAnsi="Calibri" w:eastAsia="宋体" w:cs="Calibri"/>
          <w:sz w:val="24"/>
        </w:rPr>
      </w:pPr>
      <w:r>
        <w:rPr>
          <w:rFonts w:ascii="宋体" w:hAnsi="宋体" w:eastAsia="宋体" w:cs="宋体"/>
          <w:sz w:val="24"/>
        </w:rPr>
        <w:t>姓名、国家或地区、户籍情况、出生年月、性别、学历、职称、手机号码、婚姻状况、证件类型、证件号、通讯地址、配偶姓名、配偶证件类型、配偶证件号码、职业、手机号码、个人缴存基数、缴存比例、月缴存金额、缴存方式、托收日、托收账户号码、个人征信信息、不动产交易信息、家庭房产套数、个人社保信息、收入信息等。</w:t>
      </w:r>
    </w:p>
    <w:p w14:paraId="6D358F2E">
      <w:pPr>
        <w:keepNext w:val="0"/>
        <w:keepLines w:val="0"/>
        <w:pageBreakBefore w:val="0"/>
        <w:widowControl w:val="0"/>
        <w:kinsoku/>
        <w:wordWrap/>
        <w:overflowPunct/>
        <w:topLinePunct w:val="0"/>
        <w:autoSpaceDE/>
        <w:autoSpaceDN/>
        <w:bidi w:val="0"/>
        <w:adjustRightInd/>
        <w:snapToGrid/>
        <w:spacing w:before="62" w:line="293" w:lineRule="auto"/>
        <w:ind w:left="20" w:right="120" w:firstLine="480"/>
        <w:textAlignment w:val="auto"/>
        <w:rPr>
          <w:rFonts w:ascii="Calibri" w:hAnsi="Calibri" w:eastAsia="宋体" w:cs="Calibri"/>
          <w:sz w:val="24"/>
        </w:rPr>
      </w:pPr>
      <w:r>
        <w:rPr>
          <w:rFonts w:ascii="宋体" w:hAnsi="宋体" w:eastAsia="宋体" w:cs="宋体"/>
          <w:sz w:val="24"/>
        </w:rPr>
        <w:t>根据《中华人民共和国个人信息保护法》第十三条的规定，乙方符合不需要履行向甲方事先告知同意而采集个人信息的情形时，可不必事先征得甲方同意而采集其信息。</w:t>
      </w:r>
    </w:p>
    <w:p w14:paraId="2137C4CE">
      <w:pPr>
        <w:keepNext w:val="0"/>
        <w:keepLines w:val="0"/>
        <w:pageBreakBefore w:val="0"/>
        <w:widowControl w:val="0"/>
        <w:kinsoku/>
        <w:wordWrap/>
        <w:overflowPunct/>
        <w:topLinePunct w:val="0"/>
        <w:autoSpaceDE/>
        <w:autoSpaceDN/>
        <w:bidi w:val="0"/>
        <w:adjustRightInd/>
        <w:snapToGrid/>
        <w:spacing w:line="293" w:lineRule="auto"/>
        <w:ind w:right="120" w:firstLine="460"/>
        <w:textAlignment w:val="auto"/>
        <w:rPr>
          <w:rFonts w:ascii="Calibri" w:hAnsi="Calibri" w:eastAsia="宋体" w:cs="Calibri"/>
          <w:sz w:val="24"/>
        </w:rPr>
      </w:pPr>
      <w:r>
        <w:rPr>
          <w:rFonts w:ascii="Calibri" w:hAnsi="Calibri" w:eastAsia="宋体" w:cs="Calibri"/>
          <w:sz w:val="24"/>
        </w:rPr>
        <w:t>2</w:t>
      </w:r>
      <w:r>
        <w:rPr>
          <w:rFonts w:ascii="宋体" w:hAnsi="宋体" w:eastAsia="宋体" w:cs="宋体"/>
          <w:sz w:val="24"/>
        </w:rPr>
        <w:t>．乙方处理甲方个人敏感信息用于办理甲方住房公积金相关业务，以及依法依规用于住房公积金内外部审计、业务分析统计、监管报送、征信报送、司法协助、合规检查等业务之需要，不得用于其他目的。</w:t>
      </w:r>
    </w:p>
    <w:p w14:paraId="491F731B">
      <w:pPr>
        <w:keepNext w:val="0"/>
        <w:keepLines w:val="0"/>
        <w:pageBreakBefore w:val="0"/>
        <w:widowControl w:val="0"/>
        <w:kinsoku/>
        <w:wordWrap/>
        <w:overflowPunct/>
        <w:topLinePunct w:val="0"/>
        <w:autoSpaceDE/>
        <w:autoSpaceDN/>
        <w:bidi w:val="0"/>
        <w:adjustRightInd/>
        <w:snapToGrid/>
        <w:spacing w:line="293" w:lineRule="auto"/>
        <w:ind w:left="20" w:right="120" w:firstLine="480"/>
        <w:textAlignment w:val="auto"/>
        <w:rPr>
          <w:rFonts w:ascii="Calibri" w:hAnsi="Calibri" w:eastAsia="宋体" w:cs="Calibri"/>
          <w:sz w:val="24"/>
        </w:rPr>
      </w:pPr>
      <w:r>
        <w:rPr>
          <w:rFonts w:ascii="宋体" w:hAnsi="宋体" w:eastAsia="宋体" w:cs="宋体"/>
          <w:sz w:val="24"/>
        </w:rPr>
        <w:t>甲方个人敏感信息是指一旦泄露或者非法使用，容易导致甲方的人格尊严受到侵害或者人身、财产安全受到危害的个人信息。包括甲方的</w:t>
      </w:r>
      <w:r>
        <w:rPr>
          <w:rFonts w:ascii="宋体" w:hAnsi="宋体" w:eastAsia="宋体" w:cs="宋体"/>
          <w:b/>
          <w:sz w:val="24"/>
          <w:u w:val="single"/>
        </w:rPr>
        <w:t>个人生物识别、姓名、身份证号、手机号码</w:t>
      </w:r>
      <w:r>
        <w:rPr>
          <w:rFonts w:ascii="宋体" w:hAnsi="宋体" w:eastAsia="宋体" w:cs="宋体"/>
          <w:sz w:val="24"/>
        </w:rPr>
        <w:t>等。</w:t>
      </w:r>
    </w:p>
    <w:p w14:paraId="6527F183">
      <w:pPr>
        <w:keepNext w:val="0"/>
        <w:keepLines w:val="0"/>
        <w:pageBreakBefore w:val="0"/>
        <w:widowControl w:val="0"/>
        <w:kinsoku/>
        <w:wordWrap/>
        <w:overflowPunct/>
        <w:topLinePunct w:val="0"/>
        <w:autoSpaceDE/>
        <w:autoSpaceDN/>
        <w:bidi w:val="0"/>
        <w:adjustRightInd/>
        <w:snapToGrid/>
        <w:spacing w:before="122" w:line="293" w:lineRule="auto"/>
        <w:ind w:firstLine="520"/>
        <w:textAlignment w:val="auto"/>
        <w:rPr>
          <w:rFonts w:ascii="Calibri" w:hAnsi="Calibri" w:eastAsia="宋体" w:cs="Calibri"/>
          <w:sz w:val="24"/>
        </w:rPr>
      </w:pPr>
      <w:r>
        <w:rPr>
          <w:rFonts w:ascii="宋体" w:hAnsi="宋体" w:eastAsia="宋体" w:cs="宋体"/>
          <w:b/>
          <w:sz w:val="24"/>
          <w:u w:val="single"/>
        </w:rPr>
        <w:t>甲方对此明确知晓并同意。</w:t>
      </w:r>
    </w:p>
    <w:p w14:paraId="0ED031E2">
      <w:pPr>
        <w:keepNext w:val="0"/>
        <w:keepLines w:val="0"/>
        <w:pageBreakBefore w:val="0"/>
        <w:widowControl w:val="0"/>
        <w:kinsoku/>
        <w:wordWrap/>
        <w:overflowPunct/>
        <w:topLinePunct w:val="0"/>
        <w:autoSpaceDE/>
        <w:autoSpaceDN/>
        <w:bidi w:val="0"/>
        <w:adjustRightInd/>
        <w:snapToGrid/>
        <w:spacing w:line="293" w:lineRule="auto"/>
        <w:ind w:right="40" w:firstLine="480" w:firstLineChars="200"/>
        <w:textAlignment w:val="auto"/>
        <w:rPr>
          <w:rFonts w:ascii="Calibri" w:hAnsi="Calibri" w:eastAsia="宋体" w:cs="Calibri"/>
          <w:sz w:val="24"/>
        </w:rPr>
      </w:pPr>
      <w:r>
        <w:rPr>
          <w:rFonts w:ascii="Calibri" w:hAnsi="Calibri" w:eastAsia="宋体" w:cs="Calibri"/>
          <w:sz w:val="24"/>
        </w:rPr>
        <w:t>3</w:t>
      </w:r>
      <w:r>
        <w:rPr>
          <w:rFonts w:ascii="宋体" w:hAnsi="宋体" w:eastAsia="宋体" w:cs="宋体"/>
          <w:sz w:val="24"/>
        </w:rPr>
        <w:t>．乙方或乙方授权的第三方为甲方提供多种身份验证方式，包括但不限于静态密码、动态密码、数字证书、电子签名、生物信息等方式中的一种或多种。如甲方选择不提供某一类或某几类信息的，不影响甲方采用其他方式完成身份验证。</w:t>
      </w:r>
    </w:p>
    <w:p w14:paraId="139EA50C">
      <w:pPr>
        <w:keepNext w:val="0"/>
        <w:keepLines w:val="0"/>
        <w:pageBreakBefore w:val="0"/>
        <w:widowControl w:val="0"/>
        <w:kinsoku/>
        <w:wordWrap/>
        <w:overflowPunct/>
        <w:topLinePunct w:val="0"/>
        <w:autoSpaceDE/>
        <w:autoSpaceDN/>
        <w:bidi w:val="0"/>
        <w:adjustRightInd/>
        <w:snapToGrid/>
        <w:spacing w:line="293" w:lineRule="auto"/>
        <w:ind w:right="140" w:firstLine="480" w:firstLineChars="200"/>
        <w:textAlignment w:val="auto"/>
        <w:rPr>
          <w:rFonts w:ascii="宋体" w:hAnsi="宋体" w:eastAsia="宋体" w:cs="宋体"/>
          <w:sz w:val="24"/>
        </w:rPr>
      </w:pPr>
      <w:r>
        <w:rPr>
          <w:rFonts w:ascii="Calibri" w:hAnsi="Calibri" w:eastAsia="宋体" w:cs="Calibri"/>
          <w:sz w:val="24"/>
        </w:rPr>
        <w:t>4</w:t>
      </w:r>
      <w:r>
        <w:rPr>
          <w:rFonts w:ascii="宋体" w:hAnsi="宋体" w:eastAsia="宋体" w:cs="宋体"/>
          <w:sz w:val="24"/>
        </w:rPr>
        <w:t>．乙方有权处理甲方上述未去标识化的个人信息的期限，从甲方申请签订本协议之日起至住房公积金业务办结之日止，但法律、行政法规另有规定或存储、提供相关个人住房公积金信息用于办理政务服务事项的除外。本协议解除或终止后，甲方尚未办理销户的或者仍在偿还住房公积金贷款的，不视为住房公积金业务办结。</w:t>
      </w:r>
    </w:p>
    <w:p w14:paraId="20A42D66">
      <w:pPr>
        <w:keepNext w:val="0"/>
        <w:keepLines w:val="0"/>
        <w:pageBreakBefore w:val="0"/>
        <w:widowControl w:val="0"/>
        <w:kinsoku/>
        <w:wordWrap/>
        <w:overflowPunct/>
        <w:topLinePunct w:val="0"/>
        <w:autoSpaceDE/>
        <w:autoSpaceDN/>
        <w:bidi w:val="0"/>
        <w:adjustRightInd/>
        <w:snapToGrid/>
        <w:spacing w:line="293" w:lineRule="auto"/>
        <w:ind w:right="140" w:firstLine="480" w:firstLineChars="200"/>
        <w:textAlignment w:val="auto"/>
        <w:rPr>
          <w:rFonts w:ascii="Calibri" w:hAnsi="Calibri" w:eastAsia="宋体" w:cs="Calibri"/>
          <w:sz w:val="24"/>
        </w:rPr>
      </w:pPr>
      <w:r>
        <w:rPr>
          <w:rFonts w:ascii="Calibri" w:hAnsi="Calibri" w:eastAsia="宋体" w:cs="Calibri"/>
          <w:sz w:val="24"/>
        </w:rPr>
        <w:t>5</w:t>
      </w:r>
      <w:r>
        <w:rPr>
          <w:rFonts w:ascii="宋体" w:hAnsi="宋体" w:eastAsia="宋体" w:cs="宋体"/>
          <w:sz w:val="24"/>
        </w:rPr>
        <w:t>．乙方应当采取各种合理且必要的措施保障甲方的个人信息安全，确保信息处理目的和处理方式符合最小必要原则。当乙方需要向其他有关部门或第三方机构提供甲方个人信息时，应当符合本协议的约定，或者依据法律、行政法规的规定：非经甲方同意，不得将未去标识化的甲方个人信息直接用于商业目的。</w:t>
      </w:r>
    </w:p>
    <w:p w14:paraId="12F9B3FB">
      <w:pPr>
        <w:keepNext w:val="0"/>
        <w:keepLines w:val="0"/>
        <w:pageBreakBefore w:val="0"/>
        <w:widowControl w:val="0"/>
        <w:kinsoku/>
        <w:wordWrap/>
        <w:overflowPunct/>
        <w:topLinePunct w:val="0"/>
        <w:autoSpaceDE/>
        <w:autoSpaceDN/>
        <w:bidi w:val="0"/>
        <w:adjustRightInd/>
        <w:snapToGrid/>
        <w:spacing w:line="293" w:lineRule="auto"/>
        <w:ind w:right="140" w:firstLine="460"/>
        <w:textAlignment w:val="auto"/>
        <w:rPr>
          <w:rFonts w:ascii="宋体" w:hAnsi="宋体" w:eastAsia="宋体" w:cs="宋体"/>
          <w:sz w:val="24"/>
        </w:rPr>
      </w:pPr>
    </w:p>
    <w:p w14:paraId="7267C62C">
      <w:pPr>
        <w:keepNext w:val="0"/>
        <w:keepLines w:val="0"/>
        <w:pageBreakBefore w:val="0"/>
        <w:widowControl w:val="0"/>
        <w:kinsoku/>
        <w:wordWrap/>
        <w:overflowPunct/>
        <w:topLinePunct w:val="0"/>
        <w:autoSpaceDE/>
        <w:autoSpaceDN/>
        <w:bidi w:val="0"/>
        <w:adjustRightInd/>
        <w:snapToGrid/>
        <w:spacing w:line="293" w:lineRule="auto"/>
        <w:ind w:right="140" w:firstLine="460"/>
        <w:textAlignment w:val="auto"/>
        <w:rPr>
          <w:rFonts w:ascii="宋体" w:hAnsi="宋体" w:eastAsia="宋体" w:cs="宋体"/>
          <w:sz w:val="24"/>
        </w:rPr>
      </w:pPr>
      <w:r>
        <w:rPr>
          <w:rFonts w:ascii="宋体" w:hAnsi="宋体" w:eastAsia="宋体" w:cs="宋体"/>
          <w:sz w:val="24"/>
        </w:rPr>
        <w:t>甲方（签字）：                      乙方（盖章）：</w:t>
      </w:r>
    </w:p>
    <w:p w14:paraId="01141353">
      <w:pPr>
        <w:keepNext w:val="0"/>
        <w:keepLines w:val="0"/>
        <w:pageBreakBefore w:val="0"/>
        <w:widowControl w:val="0"/>
        <w:kinsoku/>
        <w:wordWrap/>
        <w:overflowPunct/>
        <w:topLinePunct w:val="0"/>
        <w:autoSpaceDE/>
        <w:autoSpaceDN/>
        <w:bidi w:val="0"/>
        <w:adjustRightInd/>
        <w:snapToGrid/>
        <w:spacing w:line="293" w:lineRule="auto"/>
        <w:ind w:right="140" w:firstLine="460"/>
        <w:textAlignment w:val="auto"/>
        <w:rPr>
          <w:rFonts w:ascii="宋体" w:hAnsi="宋体" w:eastAsia="宋体" w:cs="宋体"/>
          <w:sz w:val="24"/>
        </w:rPr>
      </w:pPr>
    </w:p>
    <w:p w14:paraId="43CE8060">
      <w:pPr>
        <w:keepNext w:val="0"/>
        <w:keepLines w:val="0"/>
        <w:pageBreakBefore w:val="0"/>
        <w:widowControl w:val="0"/>
        <w:kinsoku/>
        <w:wordWrap/>
        <w:overflowPunct/>
        <w:topLinePunct w:val="0"/>
        <w:autoSpaceDE/>
        <w:autoSpaceDN/>
        <w:bidi w:val="0"/>
        <w:adjustRightInd/>
        <w:snapToGrid/>
        <w:spacing w:line="293" w:lineRule="auto"/>
        <w:ind w:right="140" w:firstLine="460"/>
        <w:textAlignment w:val="auto"/>
        <w:rPr>
          <w:rFonts w:ascii="宋体" w:hAnsi="宋体" w:eastAsia="宋体" w:cs="宋体"/>
          <w:sz w:val="24"/>
        </w:rPr>
      </w:pPr>
      <w:r>
        <w:rPr>
          <w:rFonts w:ascii="宋体" w:hAnsi="宋体" w:eastAsia="宋体" w:cs="宋体"/>
          <w:sz w:val="24"/>
        </w:rPr>
        <w:t>日期：                            日期：</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D13C53"/>
    <w:rsid w:val="000C6AFC"/>
    <w:rsid w:val="008D5212"/>
    <w:rsid w:val="00D13C53"/>
    <w:rsid w:val="0B4564F8"/>
    <w:rsid w:val="19FF4CD6"/>
    <w:rsid w:val="2FA5C3EE"/>
    <w:rsid w:val="31E07CD3"/>
    <w:rsid w:val="36FC6DAD"/>
    <w:rsid w:val="37BD13CA"/>
    <w:rsid w:val="38F7F801"/>
    <w:rsid w:val="3B7ED84B"/>
    <w:rsid w:val="3CFF9B7B"/>
    <w:rsid w:val="3F067678"/>
    <w:rsid w:val="3F754E1B"/>
    <w:rsid w:val="3F8D8C42"/>
    <w:rsid w:val="3FBEAFCB"/>
    <w:rsid w:val="3FF3005A"/>
    <w:rsid w:val="4C020459"/>
    <w:rsid w:val="56514B4C"/>
    <w:rsid w:val="57FF5FDB"/>
    <w:rsid w:val="59AA970A"/>
    <w:rsid w:val="5BFF35E1"/>
    <w:rsid w:val="5C4F6630"/>
    <w:rsid w:val="5EA791C4"/>
    <w:rsid w:val="5FDF1299"/>
    <w:rsid w:val="5FEF5B97"/>
    <w:rsid w:val="69770C9C"/>
    <w:rsid w:val="6CEE976C"/>
    <w:rsid w:val="6F9F0E8A"/>
    <w:rsid w:val="6FB71549"/>
    <w:rsid w:val="6FC47C66"/>
    <w:rsid w:val="75DE1084"/>
    <w:rsid w:val="777FA0A5"/>
    <w:rsid w:val="77F6E940"/>
    <w:rsid w:val="7BB33FDF"/>
    <w:rsid w:val="7BDEB5F5"/>
    <w:rsid w:val="7BFFE471"/>
    <w:rsid w:val="7BFFE99B"/>
    <w:rsid w:val="7CA69154"/>
    <w:rsid w:val="7DFF2842"/>
    <w:rsid w:val="7EB668E5"/>
    <w:rsid w:val="7EDF24DB"/>
    <w:rsid w:val="7F2F56DB"/>
    <w:rsid w:val="7F4628A5"/>
    <w:rsid w:val="7FBF45BA"/>
    <w:rsid w:val="7FF48625"/>
    <w:rsid w:val="7FFE8E90"/>
    <w:rsid w:val="7FFFD8E9"/>
    <w:rsid w:val="ABBFA17E"/>
    <w:rsid w:val="C5BEADD2"/>
    <w:rsid w:val="C75F823A"/>
    <w:rsid w:val="DA2D9630"/>
    <w:rsid w:val="DBEEA876"/>
    <w:rsid w:val="DD7D1238"/>
    <w:rsid w:val="DDE7ABCD"/>
    <w:rsid w:val="DDFFDFBF"/>
    <w:rsid w:val="DEFD4DDC"/>
    <w:rsid w:val="DFF72115"/>
    <w:rsid w:val="DFFBB5FD"/>
    <w:rsid w:val="E5F33DB0"/>
    <w:rsid w:val="E7F75687"/>
    <w:rsid w:val="EDEF70CC"/>
    <w:rsid w:val="EF7B19D4"/>
    <w:rsid w:val="EF7EE768"/>
    <w:rsid w:val="EFFB4F63"/>
    <w:rsid w:val="F3FF7906"/>
    <w:rsid w:val="F62E66F1"/>
    <w:rsid w:val="F7AF927F"/>
    <w:rsid w:val="F7BACFF2"/>
    <w:rsid w:val="F7FAC2F2"/>
    <w:rsid w:val="FABFC559"/>
    <w:rsid w:val="FAFC6CA0"/>
    <w:rsid w:val="FCFEDCD0"/>
    <w:rsid w:val="FEAD7A96"/>
    <w:rsid w:val="FED44E0C"/>
    <w:rsid w:val="FEEFB797"/>
    <w:rsid w:val="FEF7CACC"/>
    <w:rsid w:val="FF1B6F2E"/>
    <w:rsid w:val="FF3689C5"/>
    <w:rsid w:val="FF9C13F9"/>
    <w:rsid w:val="FF9F25A9"/>
    <w:rsid w:val="FFFA7915"/>
    <w:rsid w:val="FFFC0C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rPr>
  </w:style>
  <w:style w:type="character" w:customStyle="1" w:styleId="7">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6897</Words>
  <Characters>6917</Characters>
  <Lines>53</Lines>
  <Paragraphs>15</Paragraphs>
  <TotalTime>29</TotalTime>
  <ScaleCrop>false</ScaleCrop>
  <LinksUpToDate>false</LinksUpToDate>
  <CharactersWithSpaces>7251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2025-03-29T00:50:00Z</dcterms:created>
  <dc:creator>user</dc:creator>
  <cp:lastModifiedBy>张婷婷</cp:lastModifiedBy>
  <dcterms:modified xsi:type="dcterms:W3CDTF">2025-04-16T08:04:46Z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eyJoZGlkIjoiZTc4MTdlOWJlNWEwODk1NjE1ZTYzMTg1OWRiOWI2MzMiLCJ1c2VySWQiOiIzMDI5MTAwOSJ9</vt:lpwstr>
  </property>
  <property fmtid="{D5CDD505-2E9C-101B-9397-08002B2CF9AE}" pid="4" name="ICV">
    <vt:lpwstr>62E92ADFBF35486981D79CEA7EA7F732_12</vt:lpwstr>
  </property>
</Properties>
</file>